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D493" w14:textId="77777777" w:rsidR="009A7571" w:rsidRPr="00326C9B" w:rsidRDefault="00F11C36" w:rsidP="0077475F">
      <w:pPr>
        <w:spacing w:after="0" w:line="240" w:lineRule="auto"/>
        <w:ind w:left="-284"/>
        <w:jc w:val="right"/>
        <w:rPr>
          <w:rFonts w:ascii="Arial" w:hAnsi="Arial" w:cs="Arial"/>
          <w:b/>
        </w:rPr>
      </w:pPr>
      <w:r w:rsidRPr="00326C9B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63E5E28" wp14:editId="61AEF29B">
            <wp:simplePos x="0" y="0"/>
            <wp:positionH relativeFrom="margin">
              <wp:align>left</wp:align>
            </wp:positionH>
            <wp:positionV relativeFrom="paragraph">
              <wp:posOffset>49</wp:posOffset>
            </wp:positionV>
            <wp:extent cx="2447925" cy="1418731"/>
            <wp:effectExtent l="0" t="0" r="0" b="0"/>
            <wp:wrapTight wrapText="bothSides">
              <wp:wrapPolygon edited="0">
                <wp:start x="0" y="0"/>
                <wp:lineTo x="0" y="21175"/>
                <wp:lineTo x="21348" y="21175"/>
                <wp:lineTo x="2134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18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3ABDA" w14:textId="77777777" w:rsidR="0077475F" w:rsidRPr="00326C9B" w:rsidRDefault="0077475F" w:rsidP="000A072B">
      <w:pPr>
        <w:spacing w:after="0" w:line="240" w:lineRule="auto"/>
        <w:rPr>
          <w:rFonts w:ascii="Arial" w:hAnsi="Arial" w:cs="Arial"/>
          <w:b/>
        </w:rPr>
      </w:pPr>
    </w:p>
    <w:p w14:paraId="4CD47042" w14:textId="77777777" w:rsidR="0077475F" w:rsidRPr="00326C9B" w:rsidRDefault="0077475F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14:paraId="0CE3784F" w14:textId="77777777" w:rsidR="00E96429" w:rsidRPr="00326C9B" w:rsidRDefault="00E96429" w:rsidP="0077475F">
      <w:pPr>
        <w:spacing w:after="0" w:line="240" w:lineRule="auto"/>
        <w:jc w:val="center"/>
        <w:rPr>
          <w:rFonts w:ascii="Arial" w:hAnsi="Arial" w:cs="Arial"/>
        </w:rPr>
      </w:pPr>
    </w:p>
    <w:p w14:paraId="0D8B2A7F" w14:textId="77777777" w:rsidR="00B979B2" w:rsidRPr="00326C9B" w:rsidRDefault="00B979B2" w:rsidP="0077475F">
      <w:pPr>
        <w:spacing w:after="0" w:line="240" w:lineRule="auto"/>
        <w:jc w:val="center"/>
        <w:rPr>
          <w:rFonts w:ascii="Arial" w:hAnsi="Arial" w:cs="Arial"/>
        </w:rPr>
      </w:pPr>
    </w:p>
    <w:p w14:paraId="2EE9FBAA" w14:textId="77777777" w:rsidR="00B979B2" w:rsidRPr="00326C9B" w:rsidRDefault="00B979B2" w:rsidP="0077475F">
      <w:pPr>
        <w:spacing w:after="0" w:line="240" w:lineRule="auto"/>
        <w:jc w:val="center"/>
        <w:rPr>
          <w:rFonts w:ascii="Arial" w:hAnsi="Arial" w:cs="Arial"/>
        </w:rPr>
      </w:pPr>
    </w:p>
    <w:p w14:paraId="61688511" w14:textId="77777777" w:rsidR="00B979B2" w:rsidRPr="00326C9B" w:rsidRDefault="00B979B2" w:rsidP="0077475F">
      <w:pPr>
        <w:spacing w:after="0" w:line="240" w:lineRule="auto"/>
        <w:jc w:val="center"/>
        <w:rPr>
          <w:rFonts w:ascii="Arial" w:hAnsi="Arial" w:cs="Arial"/>
        </w:rPr>
      </w:pPr>
    </w:p>
    <w:p w14:paraId="1D88B266" w14:textId="77777777" w:rsidR="003A568B" w:rsidRPr="00326C9B" w:rsidRDefault="00B979B2" w:rsidP="00BD1993">
      <w:pPr>
        <w:jc w:val="right"/>
        <w:rPr>
          <w:rFonts w:ascii="Arial" w:hAnsi="Arial" w:cs="Arial"/>
        </w:rPr>
      </w:pPr>
      <w:r w:rsidRPr="00326C9B">
        <w:rPr>
          <w:rFonts w:ascii="Arial" w:hAnsi="Arial" w:cs="Arial"/>
        </w:rPr>
        <w:t xml:space="preserve">Paris, le </w:t>
      </w:r>
      <w:r w:rsidR="00D465EA" w:rsidRPr="00326C9B">
        <w:rPr>
          <w:rFonts w:ascii="Arial" w:hAnsi="Arial" w:cs="Arial"/>
        </w:rPr>
        <w:t>24</w:t>
      </w:r>
      <w:r w:rsidR="00BE599E" w:rsidRPr="00326C9B">
        <w:rPr>
          <w:rFonts w:ascii="Arial" w:hAnsi="Arial" w:cs="Arial"/>
        </w:rPr>
        <w:t xml:space="preserve"> </w:t>
      </w:r>
      <w:r w:rsidR="00F972BA" w:rsidRPr="00326C9B">
        <w:rPr>
          <w:rFonts w:ascii="Arial" w:hAnsi="Arial" w:cs="Arial"/>
        </w:rPr>
        <w:t>janvier 2022</w:t>
      </w:r>
    </w:p>
    <w:p w14:paraId="2030A749" w14:textId="77777777" w:rsidR="003A568B" w:rsidRPr="00326C9B" w:rsidRDefault="003A568B" w:rsidP="0077475F">
      <w:pPr>
        <w:spacing w:after="0" w:line="240" w:lineRule="auto"/>
        <w:jc w:val="center"/>
        <w:rPr>
          <w:rFonts w:ascii="Arial" w:hAnsi="Arial" w:cs="Arial"/>
        </w:rPr>
      </w:pPr>
    </w:p>
    <w:p w14:paraId="058E56CB" w14:textId="77777777" w:rsidR="009A7571" w:rsidRPr="00326C9B" w:rsidRDefault="0077475F" w:rsidP="0077475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26C9B">
        <w:rPr>
          <w:rFonts w:ascii="Arial" w:hAnsi="Arial" w:cs="Arial"/>
          <w:b/>
          <w:sz w:val="24"/>
        </w:rPr>
        <w:t>COMMUNIQUÉ DE PRESSE</w:t>
      </w:r>
    </w:p>
    <w:p w14:paraId="40A450DC" w14:textId="77777777" w:rsidR="0077475F" w:rsidRPr="00326C9B" w:rsidRDefault="0077475F" w:rsidP="0077475F">
      <w:pPr>
        <w:spacing w:after="0" w:line="240" w:lineRule="auto"/>
        <w:rPr>
          <w:rFonts w:ascii="Arial" w:hAnsi="Arial" w:cs="Arial"/>
          <w:b/>
        </w:rPr>
      </w:pPr>
    </w:p>
    <w:p w14:paraId="7ABEDAB7" w14:textId="77777777" w:rsidR="00B74CF3" w:rsidRPr="00326C9B" w:rsidRDefault="00B74CF3" w:rsidP="0077475F">
      <w:pPr>
        <w:spacing w:after="0" w:line="240" w:lineRule="auto"/>
        <w:rPr>
          <w:rFonts w:ascii="Arial" w:hAnsi="Arial" w:cs="Arial"/>
          <w:b/>
        </w:rPr>
      </w:pPr>
    </w:p>
    <w:p w14:paraId="06D993AC" w14:textId="156D8494" w:rsidR="00F11C36" w:rsidRPr="00326C9B" w:rsidRDefault="00176F19" w:rsidP="00FD109C">
      <w:pPr>
        <w:spacing w:after="0"/>
        <w:jc w:val="center"/>
        <w:rPr>
          <w:rFonts w:ascii="Arial" w:hAnsi="Arial" w:cs="Arial"/>
          <w:b/>
          <w:sz w:val="24"/>
        </w:rPr>
      </w:pPr>
      <w:r w:rsidRPr="00326C9B">
        <w:rPr>
          <w:rFonts w:ascii="Arial" w:hAnsi="Arial" w:cs="Arial"/>
          <w:b/>
          <w:sz w:val="24"/>
        </w:rPr>
        <w:t>Mise en œuvre de la réforme de l’allocation adultes handicapé</w:t>
      </w:r>
      <w:bookmarkStart w:id="0" w:name="_GoBack"/>
      <w:bookmarkEnd w:id="0"/>
      <w:r w:rsidRPr="00326C9B">
        <w:rPr>
          <w:rFonts w:ascii="Arial" w:hAnsi="Arial" w:cs="Arial"/>
          <w:b/>
          <w:sz w:val="24"/>
        </w:rPr>
        <w:t>s (AAH) pour les couples</w:t>
      </w:r>
      <w:r w:rsidR="00DC77CD" w:rsidRPr="00326C9B">
        <w:rPr>
          <w:rFonts w:ascii="Arial" w:hAnsi="Arial" w:cs="Arial"/>
          <w:b/>
          <w:sz w:val="24"/>
        </w:rPr>
        <w:t xml:space="preserve"> : </w:t>
      </w:r>
      <w:r w:rsidRPr="00326C9B">
        <w:rPr>
          <w:rFonts w:ascii="Arial" w:hAnsi="Arial" w:cs="Arial"/>
          <w:b/>
          <w:sz w:val="24"/>
        </w:rPr>
        <w:t>près de 110€ supplémentaires par mois pour s</w:t>
      </w:r>
      <w:r w:rsidR="00D4389C" w:rsidRPr="00326C9B">
        <w:rPr>
          <w:rFonts w:ascii="Arial" w:hAnsi="Arial" w:cs="Arial"/>
          <w:b/>
          <w:sz w:val="24"/>
        </w:rPr>
        <w:t>outenir le pouvoir d’achat de 14</w:t>
      </w:r>
      <w:r w:rsidR="00326C9B">
        <w:rPr>
          <w:rFonts w:ascii="Arial" w:hAnsi="Arial" w:cs="Arial"/>
          <w:b/>
          <w:sz w:val="24"/>
        </w:rPr>
        <w:t>0 000 foyers</w:t>
      </w:r>
    </w:p>
    <w:p w14:paraId="6402E441" w14:textId="77777777" w:rsidR="00176F19" w:rsidRPr="00326C9B" w:rsidRDefault="00176F19" w:rsidP="00DC77CD">
      <w:pPr>
        <w:jc w:val="both"/>
        <w:rPr>
          <w:rFonts w:ascii="Arial" w:hAnsi="Arial" w:cs="Arial"/>
        </w:rPr>
      </w:pPr>
    </w:p>
    <w:p w14:paraId="5DFB8959" w14:textId="4B82737C" w:rsidR="006006C8" w:rsidRPr="00326C9B" w:rsidRDefault="00DC77CD" w:rsidP="00DC77CD">
      <w:pPr>
        <w:jc w:val="both"/>
        <w:rPr>
          <w:rFonts w:ascii="Arial" w:hAnsi="Arial" w:cs="Arial"/>
          <w:strike/>
        </w:rPr>
      </w:pPr>
      <w:r w:rsidRPr="00326C9B">
        <w:rPr>
          <w:rFonts w:ascii="Arial" w:hAnsi="Arial" w:cs="Arial"/>
        </w:rPr>
        <w:t xml:space="preserve">Depuis 2017, le Gouvernement </w:t>
      </w:r>
      <w:r w:rsidR="006006C8" w:rsidRPr="00326C9B">
        <w:rPr>
          <w:rFonts w:ascii="Arial" w:hAnsi="Arial" w:cs="Arial"/>
        </w:rPr>
        <w:t>conduit</w:t>
      </w:r>
      <w:r w:rsidR="009770ED" w:rsidRPr="00326C9B">
        <w:rPr>
          <w:rFonts w:ascii="Arial" w:hAnsi="Arial" w:cs="Arial"/>
        </w:rPr>
        <w:t xml:space="preserve"> résolument une politique de soutien au pouvoir d’achat des français. Pour les personnes en situation de handicap les plus modestes, </w:t>
      </w:r>
      <w:r w:rsidR="003E2DAC" w:rsidRPr="00326C9B">
        <w:rPr>
          <w:rFonts w:ascii="Arial" w:hAnsi="Arial" w:cs="Arial"/>
        </w:rPr>
        <w:t>la</w:t>
      </w:r>
      <w:r w:rsidR="009770ED" w:rsidRPr="00326C9B">
        <w:rPr>
          <w:rFonts w:ascii="Arial" w:hAnsi="Arial" w:cs="Arial"/>
        </w:rPr>
        <w:t xml:space="preserve"> revalori</w:t>
      </w:r>
      <w:r w:rsidR="006006C8" w:rsidRPr="00326C9B">
        <w:rPr>
          <w:rFonts w:ascii="Arial" w:hAnsi="Arial" w:cs="Arial"/>
        </w:rPr>
        <w:t xml:space="preserve">sation de l’allocation adultes handicapés (AAH) à </w:t>
      </w:r>
      <w:r w:rsidR="00176F19" w:rsidRPr="00326C9B">
        <w:rPr>
          <w:rFonts w:ascii="Arial" w:hAnsi="Arial" w:cs="Arial"/>
        </w:rPr>
        <w:t xml:space="preserve">904€ par mois, soit près </w:t>
      </w:r>
      <w:r w:rsidR="006006C8" w:rsidRPr="00326C9B">
        <w:rPr>
          <w:rFonts w:ascii="Arial" w:hAnsi="Arial" w:cs="Arial"/>
        </w:rPr>
        <w:t xml:space="preserve">de 100€ </w:t>
      </w:r>
      <w:r w:rsidR="00176F19" w:rsidRPr="00326C9B">
        <w:rPr>
          <w:rFonts w:ascii="Arial" w:hAnsi="Arial" w:cs="Arial"/>
        </w:rPr>
        <w:t xml:space="preserve">supplémentaires </w:t>
      </w:r>
      <w:r w:rsidR="006006C8" w:rsidRPr="00326C9B">
        <w:rPr>
          <w:rFonts w:ascii="Arial" w:hAnsi="Arial" w:cs="Arial"/>
        </w:rPr>
        <w:t>par mois</w:t>
      </w:r>
      <w:r w:rsidR="00176F19" w:rsidRPr="00326C9B">
        <w:rPr>
          <w:rFonts w:ascii="Arial" w:hAnsi="Arial" w:cs="Arial"/>
        </w:rPr>
        <w:t xml:space="preserve"> (+11%)</w:t>
      </w:r>
      <w:r w:rsidR="003E2DAC" w:rsidRPr="00326C9B">
        <w:rPr>
          <w:rFonts w:ascii="Arial" w:hAnsi="Arial" w:cs="Arial"/>
        </w:rPr>
        <w:t>,</w:t>
      </w:r>
      <w:r w:rsidR="006006C8" w:rsidRPr="00326C9B">
        <w:rPr>
          <w:rFonts w:ascii="Arial" w:hAnsi="Arial" w:cs="Arial"/>
        </w:rPr>
        <w:t xml:space="preserve"> a bénéficié à plus de</w:t>
      </w:r>
      <w:r w:rsidR="003E2DAC" w:rsidRPr="00326C9B">
        <w:rPr>
          <w:rFonts w:ascii="Arial" w:hAnsi="Arial" w:cs="Arial"/>
        </w:rPr>
        <w:t xml:space="preserve"> 1,2 million de nos concitoyens.</w:t>
      </w:r>
    </w:p>
    <w:p w14:paraId="15D0FF37" w14:textId="0A391AF3" w:rsidR="00D94881" w:rsidRPr="00326C9B" w:rsidRDefault="00176F19" w:rsidP="00DC77CD">
      <w:pPr>
        <w:jc w:val="both"/>
        <w:rPr>
          <w:rFonts w:ascii="Arial" w:hAnsi="Arial" w:cs="Arial"/>
        </w:rPr>
      </w:pPr>
      <w:r w:rsidRPr="00326C9B">
        <w:rPr>
          <w:rFonts w:ascii="Arial" w:hAnsi="Arial" w:cs="Arial"/>
        </w:rPr>
        <w:t xml:space="preserve">Pour </w:t>
      </w:r>
      <w:r w:rsidR="00D94881" w:rsidRPr="00326C9B">
        <w:rPr>
          <w:rFonts w:ascii="Arial" w:hAnsi="Arial" w:cs="Arial"/>
        </w:rPr>
        <w:t xml:space="preserve">poursuivre ce mouvement et </w:t>
      </w:r>
      <w:r w:rsidRPr="00326C9B">
        <w:rPr>
          <w:rFonts w:ascii="Arial" w:hAnsi="Arial" w:cs="Arial"/>
        </w:rPr>
        <w:t xml:space="preserve">soutenir les personnes en </w:t>
      </w:r>
      <w:r w:rsidR="00D94881" w:rsidRPr="00326C9B">
        <w:rPr>
          <w:rFonts w:ascii="Arial" w:hAnsi="Arial" w:cs="Arial"/>
        </w:rPr>
        <w:t xml:space="preserve">situation de handicap en couple, </w:t>
      </w:r>
      <w:r w:rsidR="00D94881" w:rsidRPr="00326C9B">
        <w:rPr>
          <w:rFonts w:ascii="Arial" w:hAnsi="Arial" w:cs="Arial"/>
          <w:b/>
        </w:rPr>
        <w:t>un nouveau dispositif de calcul a été voté dans le cadre de la loi de finances pour 2022</w:t>
      </w:r>
      <w:r w:rsidR="00D94881" w:rsidRPr="00326C9B">
        <w:rPr>
          <w:rFonts w:ascii="Arial" w:hAnsi="Arial" w:cs="Arial"/>
        </w:rPr>
        <w:t xml:space="preserve">. Son décret d’application a été publié le 19 janvier pour </w:t>
      </w:r>
      <w:r w:rsidR="00D94881" w:rsidRPr="00326C9B">
        <w:rPr>
          <w:rFonts w:ascii="Arial" w:hAnsi="Arial" w:cs="Arial"/>
          <w:b/>
        </w:rPr>
        <w:t>permettre son entrée en vigueur dès le 1</w:t>
      </w:r>
      <w:r w:rsidR="00D94881" w:rsidRPr="00326C9B">
        <w:rPr>
          <w:rFonts w:ascii="Arial" w:hAnsi="Arial" w:cs="Arial"/>
          <w:b/>
          <w:vertAlign w:val="superscript"/>
        </w:rPr>
        <w:t>er</w:t>
      </w:r>
      <w:r w:rsidR="00D94881" w:rsidRPr="00326C9B">
        <w:rPr>
          <w:rFonts w:ascii="Arial" w:hAnsi="Arial" w:cs="Arial"/>
          <w:b/>
        </w:rPr>
        <w:t xml:space="preserve"> versement de l’année</w:t>
      </w:r>
      <w:r w:rsidR="00D94881" w:rsidRPr="00326C9B">
        <w:rPr>
          <w:rFonts w:ascii="Arial" w:hAnsi="Arial" w:cs="Arial"/>
        </w:rPr>
        <w:t xml:space="preserve"> par les caisses d’allocation familiales (CAF)</w:t>
      </w:r>
      <w:r w:rsidR="003E2DAC" w:rsidRPr="00326C9B">
        <w:rPr>
          <w:rFonts w:ascii="Arial" w:hAnsi="Arial" w:cs="Arial"/>
        </w:rPr>
        <w:t>.</w:t>
      </w:r>
    </w:p>
    <w:p w14:paraId="4BCB9F6A" w14:textId="3B21EB35" w:rsidR="003E2DAC" w:rsidRPr="00326C9B" w:rsidRDefault="003E2DAC" w:rsidP="00DC77CD">
      <w:pPr>
        <w:jc w:val="both"/>
        <w:rPr>
          <w:rFonts w:ascii="Arial" w:hAnsi="Arial" w:cs="Arial"/>
          <w:b/>
        </w:rPr>
      </w:pPr>
      <w:r w:rsidRPr="00326C9B">
        <w:rPr>
          <w:rFonts w:ascii="Arial" w:hAnsi="Arial" w:cs="Arial"/>
          <w:b/>
        </w:rPr>
        <w:t xml:space="preserve">Pour Sophie </w:t>
      </w:r>
      <w:proofErr w:type="spellStart"/>
      <w:r w:rsidRPr="00326C9B">
        <w:rPr>
          <w:rFonts w:ascii="Arial" w:hAnsi="Arial" w:cs="Arial"/>
          <w:b/>
        </w:rPr>
        <w:t>Cluzel</w:t>
      </w:r>
      <w:proofErr w:type="spellEnd"/>
      <w:r w:rsidRPr="00326C9B">
        <w:rPr>
          <w:rFonts w:ascii="Arial" w:hAnsi="Arial" w:cs="Arial"/>
          <w:b/>
        </w:rPr>
        <w:t xml:space="preserve">, secrétaire d’Etat auprès du Premier ministre chargée des personnes handicapées, </w:t>
      </w:r>
      <w:r w:rsidRPr="00326C9B">
        <w:rPr>
          <w:rFonts w:ascii="Arial" w:hAnsi="Arial" w:cs="Arial"/>
          <w:b/>
          <w:i/>
        </w:rPr>
        <w:t>« Comme je m’y étais engagé devant le Parlement,</w:t>
      </w:r>
      <w:r w:rsidR="00326C9B">
        <w:rPr>
          <w:rFonts w:ascii="Arial" w:hAnsi="Arial" w:cs="Arial"/>
          <w:b/>
          <w:i/>
        </w:rPr>
        <w:t xml:space="preserve"> </w:t>
      </w:r>
      <w:r w:rsidRPr="00326C9B">
        <w:rPr>
          <w:rFonts w:ascii="Arial" w:hAnsi="Arial" w:cs="Arial"/>
          <w:b/>
          <w:i/>
        </w:rPr>
        <w:t>le nouveau mode de calcul de l’allocation adultes handicapés pour les personnes en couple est opérationnel dès le mois de janvier</w:t>
      </w:r>
      <w:r w:rsidR="00D4389C" w:rsidRPr="00326C9B">
        <w:rPr>
          <w:rFonts w:ascii="Arial" w:hAnsi="Arial" w:cs="Arial"/>
          <w:b/>
          <w:i/>
        </w:rPr>
        <w:t>. Il permet à 14</w:t>
      </w:r>
      <w:r w:rsidRPr="00326C9B">
        <w:rPr>
          <w:rFonts w:ascii="Arial" w:hAnsi="Arial" w:cs="Arial"/>
          <w:b/>
          <w:i/>
        </w:rPr>
        <w:t xml:space="preserve">0 000 foyers de bénéficier immédiatement d’une hausse moyenne de 110€ à 120€ par mois pour renforcer leur pouvoir d’achat. C’est une mesure de justice sociale qui accompagne les foyers les plus modestes. </w:t>
      </w:r>
      <w:r w:rsidRPr="00326C9B">
        <w:rPr>
          <w:rFonts w:ascii="Arial" w:hAnsi="Arial" w:cs="Arial"/>
          <w:b/>
        </w:rPr>
        <w:t>»</w:t>
      </w:r>
    </w:p>
    <w:p w14:paraId="0DDB9954" w14:textId="1AF59756" w:rsidR="009B1457" w:rsidRPr="00326C9B" w:rsidRDefault="00D94881" w:rsidP="00D94881">
      <w:pPr>
        <w:jc w:val="both"/>
        <w:rPr>
          <w:rFonts w:ascii="Arial" w:hAnsi="Arial" w:cs="Arial"/>
          <w:b/>
        </w:rPr>
      </w:pPr>
      <w:r w:rsidRPr="00326C9B">
        <w:rPr>
          <w:rFonts w:ascii="Arial" w:hAnsi="Arial" w:cs="Arial"/>
        </w:rPr>
        <w:t xml:space="preserve">Cette réforme permet de </w:t>
      </w:r>
      <w:r w:rsidRPr="00326C9B">
        <w:rPr>
          <w:rFonts w:ascii="Arial" w:hAnsi="Arial" w:cs="Arial"/>
          <w:b/>
        </w:rPr>
        <w:t>soutenir les bénéficiaires de l’AAH en couple dont les revenus sont les plus modestes</w:t>
      </w:r>
      <w:r w:rsidRPr="00326C9B">
        <w:rPr>
          <w:rFonts w:ascii="Arial" w:hAnsi="Arial" w:cs="Arial"/>
        </w:rPr>
        <w:t xml:space="preserve">, avec un abattement fixe de 5 000 € sur les revenus du conjoint, majoré de 1 400 € par enfant. </w:t>
      </w:r>
      <w:r w:rsidR="009B1457" w:rsidRPr="00326C9B">
        <w:rPr>
          <w:rFonts w:ascii="Arial" w:hAnsi="Arial" w:cs="Arial"/>
        </w:rPr>
        <w:t xml:space="preserve">Ce nouveau mode de calcul ne </w:t>
      </w:r>
      <w:r w:rsidR="009B1457" w:rsidRPr="00326C9B">
        <w:rPr>
          <w:rFonts w:ascii="Arial" w:hAnsi="Arial" w:cs="Arial"/>
          <w:b/>
        </w:rPr>
        <w:t>fait absolument aucun perdant.</w:t>
      </w:r>
      <w:r w:rsidR="00E51F47" w:rsidRPr="00326C9B">
        <w:rPr>
          <w:rFonts w:ascii="Arial" w:hAnsi="Arial" w:cs="Arial"/>
          <w:b/>
        </w:rPr>
        <w:t xml:space="preserve"> C’est une dépense supplémentair</w:t>
      </w:r>
      <w:r w:rsidR="00EA1A81" w:rsidRPr="00326C9B">
        <w:rPr>
          <w:rFonts w:ascii="Arial" w:hAnsi="Arial" w:cs="Arial"/>
          <w:b/>
        </w:rPr>
        <w:t xml:space="preserve">e de 0,2 milliard </w:t>
      </w:r>
      <w:r w:rsidR="00E51F47" w:rsidRPr="00326C9B">
        <w:rPr>
          <w:rFonts w:ascii="Arial" w:hAnsi="Arial" w:cs="Arial"/>
          <w:b/>
        </w:rPr>
        <w:t>pour l’Etat chaque année.</w:t>
      </w:r>
    </w:p>
    <w:p w14:paraId="3C95F5C5" w14:textId="4EA6C4EC" w:rsidR="00D94881" w:rsidRPr="00326C9B" w:rsidRDefault="009B1457" w:rsidP="00DC77CD">
      <w:pPr>
        <w:jc w:val="both"/>
        <w:rPr>
          <w:rFonts w:ascii="Arial" w:hAnsi="Arial" w:cs="Arial"/>
        </w:rPr>
      </w:pPr>
      <w:r w:rsidRPr="00326C9B">
        <w:rPr>
          <w:rFonts w:ascii="Arial" w:hAnsi="Arial" w:cs="Arial"/>
          <w:b/>
        </w:rPr>
        <w:t>Cette mesure conduit</w:t>
      </w:r>
      <w:r w:rsidR="00D4389C" w:rsidRPr="00326C9B">
        <w:rPr>
          <w:rFonts w:ascii="Arial" w:hAnsi="Arial" w:cs="Arial"/>
          <w:b/>
        </w:rPr>
        <w:t xml:space="preserve"> 14</w:t>
      </w:r>
      <w:r w:rsidR="00D94881" w:rsidRPr="00326C9B">
        <w:rPr>
          <w:rFonts w:ascii="Arial" w:hAnsi="Arial" w:cs="Arial"/>
          <w:b/>
        </w:rPr>
        <w:t xml:space="preserve">0 000 foyers à bénéficier d’une hausse moyenne de 110 € à 120 € </w:t>
      </w:r>
      <w:r w:rsidRPr="00326C9B">
        <w:rPr>
          <w:rFonts w:ascii="Arial" w:hAnsi="Arial" w:cs="Arial"/>
          <w:b/>
        </w:rPr>
        <w:t xml:space="preserve">par mois dès le mois de janvier 2022 et sans qu’aucune démarche n’ait à être engagée auprès de la CAF. </w:t>
      </w:r>
      <w:r w:rsidRPr="00326C9B">
        <w:rPr>
          <w:rFonts w:ascii="Arial" w:hAnsi="Arial" w:cs="Arial"/>
        </w:rPr>
        <w:t xml:space="preserve">Désormais, toutes les personnes en couple et sans activité et dont le conjoint gagne le SMIC toucheront l’AAH à </w:t>
      </w:r>
      <w:r w:rsidR="00326C9B">
        <w:rPr>
          <w:rFonts w:ascii="Arial" w:hAnsi="Arial" w:cs="Arial"/>
        </w:rPr>
        <w:t>taux plein, soit 904€ par mois.</w:t>
      </w:r>
    </w:p>
    <w:p w14:paraId="394A4434" w14:textId="3EB58FF3" w:rsidR="00EE205A" w:rsidRDefault="00E51F47" w:rsidP="00DC77CD">
      <w:pPr>
        <w:jc w:val="both"/>
        <w:rPr>
          <w:rFonts w:ascii="Arial" w:hAnsi="Arial" w:cs="Arial"/>
        </w:rPr>
      </w:pPr>
      <w:r w:rsidRPr="00326C9B">
        <w:rPr>
          <w:rFonts w:ascii="Arial" w:hAnsi="Arial" w:cs="Arial"/>
        </w:rPr>
        <w:t xml:space="preserve">Au total, c’est </w:t>
      </w:r>
      <w:r w:rsidR="00D061E9" w:rsidRPr="00326C9B">
        <w:rPr>
          <w:rFonts w:ascii="Arial" w:hAnsi="Arial" w:cs="Arial"/>
          <w:b/>
        </w:rPr>
        <w:t>12 m</w:t>
      </w:r>
      <w:r w:rsidR="00EA1A81" w:rsidRPr="00326C9B">
        <w:rPr>
          <w:rFonts w:ascii="Arial" w:hAnsi="Arial" w:cs="Arial"/>
          <w:b/>
        </w:rPr>
        <w:t>illiards</w:t>
      </w:r>
      <w:r w:rsidRPr="00326C9B">
        <w:rPr>
          <w:rFonts w:ascii="Arial" w:hAnsi="Arial" w:cs="Arial"/>
          <w:b/>
        </w:rPr>
        <w:t xml:space="preserve"> qui seront consacrés en 2022 par l’Etat à l’AAH</w:t>
      </w:r>
      <w:r w:rsidRPr="00326C9B">
        <w:rPr>
          <w:rFonts w:ascii="Arial" w:hAnsi="Arial" w:cs="Arial"/>
        </w:rPr>
        <w:t xml:space="preserve"> pour aider les personnes en situation de handicap les plus modestes, soit </w:t>
      </w:r>
      <w:r w:rsidRPr="00326C9B">
        <w:rPr>
          <w:rFonts w:ascii="Arial" w:hAnsi="Arial" w:cs="Arial"/>
          <w:b/>
        </w:rPr>
        <w:t>+25 % en 5 ans</w:t>
      </w:r>
      <w:r w:rsidRPr="00326C9B">
        <w:rPr>
          <w:rFonts w:ascii="Arial" w:hAnsi="Arial" w:cs="Arial"/>
        </w:rPr>
        <w:t>, avec une dépense annuelle supplémentaire de 2,4 Md€</w:t>
      </w:r>
      <w:r w:rsidR="003E2DAC" w:rsidRPr="00326C9B">
        <w:rPr>
          <w:rFonts w:ascii="Arial" w:hAnsi="Arial" w:cs="Arial"/>
        </w:rPr>
        <w:t>, u</w:t>
      </w:r>
      <w:r w:rsidR="00F51FF7" w:rsidRPr="00326C9B">
        <w:rPr>
          <w:rFonts w:ascii="Arial" w:hAnsi="Arial" w:cs="Arial"/>
        </w:rPr>
        <w:t xml:space="preserve">n investissement </w:t>
      </w:r>
      <w:r w:rsidR="003E2DAC" w:rsidRPr="00326C9B">
        <w:rPr>
          <w:rFonts w:ascii="Arial" w:hAnsi="Arial" w:cs="Arial"/>
        </w:rPr>
        <w:t>nécessaire</w:t>
      </w:r>
      <w:r w:rsidR="00F51FF7" w:rsidRPr="00326C9B">
        <w:rPr>
          <w:rFonts w:ascii="Arial" w:hAnsi="Arial" w:cs="Arial"/>
        </w:rPr>
        <w:t xml:space="preserve"> pour soutenir les per</w:t>
      </w:r>
      <w:r w:rsidR="00326C9B">
        <w:rPr>
          <w:rFonts w:ascii="Arial" w:hAnsi="Arial" w:cs="Arial"/>
        </w:rPr>
        <w:t>sonnes en situation de handicap.</w:t>
      </w:r>
    </w:p>
    <w:p w14:paraId="4FF9A241" w14:textId="77777777" w:rsidR="00326C9B" w:rsidRPr="00326C9B" w:rsidRDefault="00326C9B" w:rsidP="00DC77CD">
      <w:pPr>
        <w:jc w:val="both"/>
        <w:rPr>
          <w:rFonts w:ascii="Arial" w:hAnsi="Arial" w:cs="Arial"/>
          <w:color w:val="FF0000"/>
        </w:rPr>
      </w:pPr>
    </w:p>
    <w:p w14:paraId="71274E3D" w14:textId="77777777" w:rsidR="000070D8" w:rsidRPr="00326C9B" w:rsidRDefault="00055655" w:rsidP="00326C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 w:rsidRPr="00326C9B">
        <w:rPr>
          <w:rFonts w:ascii="Arial" w:hAnsi="Arial" w:cs="Arial"/>
          <w:b/>
        </w:rPr>
        <w:t xml:space="preserve">Contact </w:t>
      </w:r>
      <w:r w:rsidR="00C62C85" w:rsidRPr="00326C9B">
        <w:rPr>
          <w:rFonts w:ascii="Arial" w:hAnsi="Arial" w:cs="Arial"/>
          <w:b/>
        </w:rPr>
        <w:t>presse</w:t>
      </w:r>
      <w:r w:rsidR="00FD109C" w:rsidRPr="00326C9B">
        <w:rPr>
          <w:rFonts w:ascii="Arial" w:hAnsi="Arial" w:cs="Arial"/>
          <w:b/>
        </w:rPr>
        <w:t xml:space="preserve"> –</w:t>
      </w:r>
      <w:r w:rsidR="00C62C85" w:rsidRPr="00326C9B">
        <w:rPr>
          <w:rFonts w:ascii="Arial" w:hAnsi="Arial" w:cs="Arial"/>
          <w:b/>
        </w:rPr>
        <w:t xml:space="preserve"> Secrétariat d’Etat chargé des personnes handicapées</w:t>
      </w:r>
      <w:r w:rsidR="00FD109C" w:rsidRPr="00326C9B">
        <w:rPr>
          <w:rFonts w:ascii="Arial" w:hAnsi="Arial" w:cs="Arial"/>
          <w:b/>
        </w:rPr>
        <w:t> :</w:t>
      </w:r>
    </w:p>
    <w:p w14:paraId="0BF161B7" w14:textId="77777777" w:rsidR="008965B0" w:rsidRPr="00326C9B" w:rsidRDefault="0004482D" w:rsidP="00326C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hyperlink r:id="rId9" w:history="1">
        <w:r w:rsidR="0091772E" w:rsidRPr="00326C9B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sectPr w:rsidR="008965B0" w:rsidRPr="00326C9B" w:rsidSect="00326C9B">
      <w:footerReference w:type="default" r:id="rId10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A93F" w14:textId="77777777" w:rsidR="001F3A9E" w:rsidRDefault="001F3A9E" w:rsidP="00A946F6">
      <w:pPr>
        <w:spacing w:after="0" w:line="240" w:lineRule="auto"/>
      </w:pPr>
      <w:r>
        <w:separator/>
      </w:r>
    </w:p>
  </w:endnote>
  <w:endnote w:type="continuationSeparator" w:id="0">
    <w:p w14:paraId="368ACD3A" w14:textId="77777777" w:rsidR="001F3A9E" w:rsidRDefault="001F3A9E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440260"/>
      <w:docPartObj>
        <w:docPartGallery w:val="Page Numbers (Bottom of Page)"/>
        <w:docPartUnique/>
      </w:docPartObj>
    </w:sdtPr>
    <w:sdtEndPr/>
    <w:sdtContent>
      <w:p w14:paraId="26218A6D" w14:textId="460D357B" w:rsidR="000070D8" w:rsidRDefault="000070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82D">
          <w:rPr>
            <w:noProof/>
          </w:rPr>
          <w:t>1</w:t>
        </w:r>
        <w:r>
          <w:fldChar w:fldCharType="end"/>
        </w:r>
      </w:p>
    </w:sdtContent>
  </w:sdt>
  <w:p w14:paraId="6FC836D6" w14:textId="77777777" w:rsidR="000070D8" w:rsidRDefault="000070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9488" w14:textId="77777777" w:rsidR="001F3A9E" w:rsidRDefault="001F3A9E" w:rsidP="00A946F6">
      <w:pPr>
        <w:spacing w:after="0" w:line="240" w:lineRule="auto"/>
      </w:pPr>
      <w:r>
        <w:separator/>
      </w:r>
    </w:p>
  </w:footnote>
  <w:footnote w:type="continuationSeparator" w:id="0">
    <w:p w14:paraId="677E7CC7" w14:textId="77777777" w:rsidR="001F3A9E" w:rsidRDefault="001F3A9E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9B5"/>
    <w:multiLevelType w:val="hybridMultilevel"/>
    <w:tmpl w:val="9C620576"/>
    <w:lvl w:ilvl="0" w:tplc="81E81E5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6F1"/>
    <w:multiLevelType w:val="hybridMultilevel"/>
    <w:tmpl w:val="C41C0764"/>
    <w:lvl w:ilvl="0" w:tplc="6BBEAF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46C63"/>
    <w:multiLevelType w:val="hybridMultilevel"/>
    <w:tmpl w:val="A612A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5A2"/>
    <w:multiLevelType w:val="hybridMultilevel"/>
    <w:tmpl w:val="150E1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C3B"/>
    <w:multiLevelType w:val="hybridMultilevel"/>
    <w:tmpl w:val="B2C6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322A"/>
    <w:multiLevelType w:val="hybridMultilevel"/>
    <w:tmpl w:val="61D0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30EC"/>
    <w:multiLevelType w:val="hybridMultilevel"/>
    <w:tmpl w:val="7E8637F8"/>
    <w:lvl w:ilvl="0" w:tplc="FF6EB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729"/>
    <w:multiLevelType w:val="hybridMultilevel"/>
    <w:tmpl w:val="AB381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7BF5"/>
    <w:multiLevelType w:val="hybridMultilevel"/>
    <w:tmpl w:val="926259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E1ED1"/>
    <w:multiLevelType w:val="hybridMultilevel"/>
    <w:tmpl w:val="F0801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613A7"/>
    <w:multiLevelType w:val="hybridMultilevel"/>
    <w:tmpl w:val="B836A34E"/>
    <w:lvl w:ilvl="0" w:tplc="F1AC1E52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3E26"/>
    <w:multiLevelType w:val="multilevel"/>
    <w:tmpl w:val="121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D2179"/>
    <w:multiLevelType w:val="hybridMultilevel"/>
    <w:tmpl w:val="5E8817F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3131C7"/>
    <w:multiLevelType w:val="hybridMultilevel"/>
    <w:tmpl w:val="320A0592"/>
    <w:lvl w:ilvl="0" w:tplc="C9A6780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036F9"/>
    <w:multiLevelType w:val="hybridMultilevel"/>
    <w:tmpl w:val="8E860F12"/>
    <w:lvl w:ilvl="0" w:tplc="1D5A89D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22" w15:restartNumberingAfterBreak="0">
    <w:nsid w:val="5055022F"/>
    <w:multiLevelType w:val="hybridMultilevel"/>
    <w:tmpl w:val="C7C68408"/>
    <w:lvl w:ilvl="0" w:tplc="E428984A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644EB0"/>
    <w:multiLevelType w:val="hybridMultilevel"/>
    <w:tmpl w:val="7CB001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7C37"/>
    <w:multiLevelType w:val="hybridMultilevel"/>
    <w:tmpl w:val="452AC6F0"/>
    <w:lvl w:ilvl="0" w:tplc="3B92D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F31C7"/>
    <w:multiLevelType w:val="hybridMultilevel"/>
    <w:tmpl w:val="BB58D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33FD1"/>
    <w:multiLevelType w:val="hybridMultilevel"/>
    <w:tmpl w:val="3BB4C4F4"/>
    <w:lvl w:ilvl="0" w:tplc="3A948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B7A76"/>
    <w:multiLevelType w:val="hybridMultilevel"/>
    <w:tmpl w:val="7BEA1F3C"/>
    <w:lvl w:ilvl="0" w:tplc="11F89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A7D0A"/>
    <w:multiLevelType w:val="hybridMultilevel"/>
    <w:tmpl w:val="B4887716"/>
    <w:lvl w:ilvl="0" w:tplc="F08264E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E609D"/>
    <w:multiLevelType w:val="hybridMultilevel"/>
    <w:tmpl w:val="5750EFE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1701AA"/>
    <w:multiLevelType w:val="hybridMultilevel"/>
    <w:tmpl w:val="E098E6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AD48BB"/>
    <w:multiLevelType w:val="multilevel"/>
    <w:tmpl w:val="CD1C5F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B4B75"/>
    <w:multiLevelType w:val="hybridMultilevel"/>
    <w:tmpl w:val="1C3C6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F61D4"/>
    <w:multiLevelType w:val="hybridMultilevel"/>
    <w:tmpl w:val="AED47168"/>
    <w:lvl w:ilvl="0" w:tplc="05CA8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E161B"/>
    <w:multiLevelType w:val="hybridMultilevel"/>
    <w:tmpl w:val="7848E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74BBC"/>
    <w:multiLevelType w:val="multilevel"/>
    <w:tmpl w:val="5372B184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D3FB2"/>
    <w:multiLevelType w:val="hybridMultilevel"/>
    <w:tmpl w:val="7BDAC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26AC6"/>
    <w:multiLevelType w:val="hybridMultilevel"/>
    <w:tmpl w:val="FB325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D385B"/>
    <w:multiLevelType w:val="hybridMultilevel"/>
    <w:tmpl w:val="5644C102"/>
    <w:lvl w:ilvl="0" w:tplc="BB02D51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62571C"/>
    <w:multiLevelType w:val="hybridMultilevel"/>
    <w:tmpl w:val="C1A089E0"/>
    <w:lvl w:ilvl="0" w:tplc="E09A1F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7"/>
  </w:num>
  <w:num w:numId="5">
    <w:abstractNumId w:val="24"/>
  </w:num>
  <w:num w:numId="6">
    <w:abstractNumId w:val="13"/>
  </w:num>
  <w:num w:numId="7">
    <w:abstractNumId w:val="4"/>
  </w:num>
  <w:num w:numId="8">
    <w:abstractNumId w:val="3"/>
  </w:num>
  <w:num w:numId="9">
    <w:abstractNumId w:val="33"/>
  </w:num>
  <w:num w:numId="10">
    <w:abstractNumId w:val="41"/>
  </w:num>
  <w:num w:numId="11">
    <w:abstractNumId w:val="6"/>
  </w:num>
  <w:num w:numId="12">
    <w:abstractNumId w:val="23"/>
  </w:num>
  <w:num w:numId="13">
    <w:abstractNumId w:val="31"/>
  </w:num>
  <w:num w:numId="14">
    <w:abstractNumId w:val="32"/>
  </w:num>
  <w:num w:numId="15">
    <w:abstractNumId w:val="10"/>
  </w:num>
  <w:num w:numId="16">
    <w:abstractNumId w:val="17"/>
  </w:num>
  <w:num w:numId="17">
    <w:abstractNumId w:val="14"/>
  </w:num>
  <w:num w:numId="18">
    <w:abstractNumId w:val="9"/>
  </w:num>
  <w:num w:numId="19">
    <w:abstractNumId w:val="27"/>
  </w:num>
  <w:num w:numId="20">
    <w:abstractNumId w:val="29"/>
  </w:num>
  <w:num w:numId="21">
    <w:abstractNumId w:val="35"/>
  </w:num>
  <w:num w:numId="22">
    <w:abstractNumId w:val="38"/>
  </w:num>
  <w:num w:numId="23">
    <w:abstractNumId w:val="0"/>
  </w:num>
  <w:num w:numId="24">
    <w:abstractNumId w:val="18"/>
  </w:num>
  <w:num w:numId="25">
    <w:abstractNumId w:val="22"/>
  </w:num>
  <w:num w:numId="26">
    <w:abstractNumId w:val="5"/>
  </w:num>
  <w:num w:numId="27">
    <w:abstractNumId w:val="26"/>
  </w:num>
  <w:num w:numId="28">
    <w:abstractNumId w:val="40"/>
  </w:num>
  <w:num w:numId="29">
    <w:abstractNumId w:val="25"/>
  </w:num>
  <w:num w:numId="30">
    <w:abstractNumId w:val="39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"/>
  </w:num>
  <w:num w:numId="36">
    <w:abstractNumId w:val="30"/>
  </w:num>
  <w:num w:numId="37">
    <w:abstractNumId w:val="11"/>
  </w:num>
  <w:num w:numId="38">
    <w:abstractNumId w:val="1"/>
  </w:num>
  <w:num w:numId="39">
    <w:abstractNumId w:val="28"/>
  </w:num>
  <w:num w:numId="40">
    <w:abstractNumId w:val="16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557D"/>
    <w:rsid w:val="00006304"/>
    <w:rsid w:val="000070D8"/>
    <w:rsid w:val="000071EE"/>
    <w:rsid w:val="00013D1C"/>
    <w:rsid w:val="00013E29"/>
    <w:rsid w:val="0002063B"/>
    <w:rsid w:val="00021DE8"/>
    <w:rsid w:val="0002491B"/>
    <w:rsid w:val="00026A1C"/>
    <w:rsid w:val="00036404"/>
    <w:rsid w:val="00043083"/>
    <w:rsid w:val="0004482D"/>
    <w:rsid w:val="00044DA6"/>
    <w:rsid w:val="0004513F"/>
    <w:rsid w:val="00047032"/>
    <w:rsid w:val="000479B7"/>
    <w:rsid w:val="00055655"/>
    <w:rsid w:val="00057C8C"/>
    <w:rsid w:val="00060E4D"/>
    <w:rsid w:val="00061736"/>
    <w:rsid w:val="0006349D"/>
    <w:rsid w:val="000876F4"/>
    <w:rsid w:val="000913E6"/>
    <w:rsid w:val="000952FF"/>
    <w:rsid w:val="000A072B"/>
    <w:rsid w:val="000A20B2"/>
    <w:rsid w:val="000A430F"/>
    <w:rsid w:val="000A4F39"/>
    <w:rsid w:val="000A5FCD"/>
    <w:rsid w:val="000A7149"/>
    <w:rsid w:val="000B0984"/>
    <w:rsid w:val="000C4206"/>
    <w:rsid w:val="000D3AEB"/>
    <w:rsid w:val="000D3E1D"/>
    <w:rsid w:val="000D4223"/>
    <w:rsid w:val="000E5956"/>
    <w:rsid w:val="000F1EB1"/>
    <w:rsid w:val="000F6ED2"/>
    <w:rsid w:val="00101482"/>
    <w:rsid w:val="00102B5F"/>
    <w:rsid w:val="00105A90"/>
    <w:rsid w:val="00107F6E"/>
    <w:rsid w:val="00111B8F"/>
    <w:rsid w:val="001138FF"/>
    <w:rsid w:val="00115ED3"/>
    <w:rsid w:val="00120629"/>
    <w:rsid w:val="00124378"/>
    <w:rsid w:val="00135040"/>
    <w:rsid w:val="00146D65"/>
    <w:rsid w:val="00153791"/>
    <w:rsid w:val="00157F06"/>
    <w:rsid w:val="001629FB"/>
    <w:rsid w:val="00162F27"/>
    <w:rsid w:val="00166773"/>
    <w:rsid w:val="00167BFC"/>
    <w:rsid w:val="00173D56"/>
    <w:rsid w:val="00176F19"/>
    <w:rsid w:val="00177334"/>
    <w:rsid w:val="001778A4"/>
    <w:rsid w:val="00180402"/>
    <w:rsid w:val="00194125"/>
    <w:rsid w:val="001972A7"/>
    <w:rsid w:val="001A7FF7"/>
    <w:rsid w:val="001B3317"/>
    <w:rsid w:val="001B6C04"/>
    <w:rsid w:val="001C23B8"/>
    <w:rsid w:val="001C366E"/>
    <w:rsid w:val="001C5020"/>
    <w:rsid w:val="001C6939"/>
    <w:rsid w:val="001C7198"/>
    <w:rsid w:val="001D20AA"/>
    <w:rsid w:val="001D731B"/>
    <w:rsid w:val="001E1A0B"/>
    <w:rsid w:val="001E60D8"/>
    <w:rsid w:val="001F0302"/>
    <w:rsid w:val="001F0C77"/>
    <w:rsid w:val="001F0EAD"/>
    <w:rsid w:val="001F28A2"/>
    <w:rsid w:val="001F3A9E"/>
    <w:rsid w:val="001F4A9A"/>
    <w:rsid w:val="001F5259"/>
    <w:rsid w:val="00200959"/>
    <w:rsid w:val="00205866"/>
    <w:rsid w:val="00220280"/>
    <w:rsid w:val="00222165"/>
    <w:rsid w:val="00224CA3"/>
    <w:rsid w:val="002312FD"/>
    <w:rsid w:val="00237291"/>
    <w:rsid w:val="00240756"/>
    <w:rsid w:val="00246CC4"/>
    <w:rsid w:val="00250063"/>
    <w:rsid w:val="002506B2"/>
    <w:rsid w:val="002529A5"/>
    <w:rsid w:val="0025678D"/>
    <w:rsid w:val="00260F4B"/>
    <w:rsid w:val="00265F87"/>
    <w:rsid w:val="00272D54"/>
    <w:rsid w:val="00273742"/>
    <w:rsid w:val="00275704"/>
    <w:rsid w:val="002763DA"/>
    <w:rsid w:val="002819DF"/>
    <w:rsid w:val="00282239"/>
    <w:rsid w:val="002834DA"/>
    <w:rsid w:val="00283D7C"/>
    <w:rsid w:val="0028562E"/>
    <w:rsid w:val="00290E2E"/>
    <w:rsid w:val="00291947"/>
    <w:rsid w:val="0029435D"/>
    <w:rsid w:val="002A0BEB"/>
    <w:rsid w:val="002A6482"/>
    <w:rsid w:val="002B644B"/>
    <w:rsid w:val="002B6A35"/>
    <w:rsid w:val="002C3269"/>
    <w:rsid w:val="002D2A2A"/>
    <w:rsid w:val="002F20D2"/>
    <w:rsid w:val="002F404A"/>
    <w:rsid w:val="002F56B4"/>
    <w:rsid w:val="00304678"/>
    <w:rsid w:val="00307485"/>
    <w:rsid w:val="0031115C"/>
    <w:rsid w:val="00315CDB"/>
    <w:rsid w:val="00316B11"/>
    <w:rsid w:val="00322CE2"/>
    <w:rsid w:val="00326C9B"/>
    <w:rsid w:val="003273C4"/>
    <w:rsid w:val="003379B1"/>
    <w:rsid w:val="003401D5"/>
    <w:rsid w:val="00340BF6"/>
    <w:rsid w:val="003423A9"/>
    <w:rsid w:val="00343645"/>
    <w:rsid w:val="003436BF"/>
    <w:rsid w:val="00350898"/>
    <w:rsid w:val="00350974"/>
    <w:rsid w:val="00355062"/>
    <w:rsid w:val="00357E1E"/>
    <w:rsid w:val="00364C7A"/>
    <w:rsid w:val="00376C06"/>
    <w:rsid w:val="00376FCD"/>
    <w:rsid w:val="003771D0"/>
    <w:rsid w:val="0037746A"/>
    <w:rsid w:val="00377EB3"/>
    <w:rsid w:val="00390E83"/>
    <w:rsid w:val="0039545D"/>
    <w:rsid w:val="003A3C71"/>
    <w:rsid w:val="003A4A80"/>
    <w:rsid w:val="003A568B"/>
    <w:rsid w:val="003A7EE9"/>
    <w:rsid w:val="003C24D2"/>
    <w:rsid w:val="003C2E33"/>
    <w:rsid w:val="003C640D"/>
    <w:rsid w:val="003D2CBD"/>
    <w:rsid w:val="003E09C5"/>
    <w:rsid w:val="003E2DAC"/>
    <w:rsid w:val="003E5B03"/>
    <w:rsid w:val="003E7002"/>
    <w:rsid w:val="003E7B6C"/>
    <w:rsid w:val="003F0843"/>
    <w:rsid w:val="003F0BF2"/>
    <w:rsid w:val="003F0CBB"/>
    <w:rsid w:val="003F5776"/>
    <w:rsid w:val="00401567"/>
    <w:rsid w:val="00401832"/>
    <w:rsid w:val="00401E8D"/>
    <w:rsid w:val="00403C3E"/>
    <w:rsid w:val="00404D56"/>
    <w:rsid w:val="004105B5"/>
    <w:rsid w:val="0041729F"/>
    <w:rsid w:val="00422F6A"/>
    <w:rsid w:val="0042605D"/>
    <w:rsid w:val="00427E0E"/>
    <w:rsid w:val="004348D1"/>
    <w:rsid w:val="0043626B"/>
    <w:rsid w:val="00437C17"/>
    <w:rsid w:val="0044339A"/>
    <w:rsid w:val="00446D36"/>
    <w:rsid w:val="00455325"/>
    <w:rsid w:val="004570BB"/>
    <w:rsid w:val="0046009E"/>
    <w:rsid w:val="004638B4"/>
    <w:rsid w:val="00466232"/>
    <w:rsid w:val="00467EAF"/>
    <w:rsid w:val="00484268"/>
    <w:rsid w:val="00486FE8"/>
    <w:rsid w:val="00493FC6"/>
    <w:rsid w:val="00494138"/>
    <w:rsid w:val="00494C5E"/>
    <w:rsid w:val="004A1D80"/>
    <w:rsid w:val="004A3C20"/>
    <w:rsid w:val="004C1FCD"/>
    <w:rsid w:val="004C364A"/>
    <w:rsid w:val="004C59DC"/>
    <w:rsid w:val="004D2730"/>
    <w:rsid w:val="004D5060"/>
    <w:rsid w:val="004D641A"/>
    <w:rsid w:val="004E1CC7"/>
    <w:rsid w:val="004E3D29"/>
    <w:rsid w:val="004F595F"/>
    <w:rsid w:val="00505D1D"/>
    <w:rsid w:val="00506B2F"/>
    <w:rsid w:val="00512847"/>
    <w:rsid w:val="00533482"/>
    <w:rsid w:val="005344A7"/>
    <w:rsid w:val="00541991"/>
    <w:rsid w:val="00541FD7"/>
    <w:rsid w:val="00554361"/>
    <w:rsid w:val="00570987"/>
    <w:rsid w:val="00585FA9"/>
    <w:rsid w:val="00590877"/>
    <w:rsid w:val="00595175"/>
    <w:rsid w:val="00595E6F"/>
    <w:rsid w:val="005A031C"/>
    <w:rsid w:val="005A1125"/>
    <w:rsid w:val="005A1375"/>
    <w:rsid w:val="005A16DD"/>
    <w:rsid w:val="005A24FD"/>
    <w:rsid w:val="005A5E31"/>
    <w:rsid w:val="005A68E4"/>
    <w:rsid w:val="005B0928"/>
    <w:rsid w:val="005B5E4A"/>
    <w:rsid w:val="005B5EA2"/>
    <w:rsid w:val="005C5C54"/>
    <w:rsid w:val="005C64EB"/>
    <w:rsid w:val="005C7F4D"/>
    <w:rsid w:val="005D028E"/>
    <w:rsid w:val="005D4A52"/>
    <w:rsid w:val="005E4621"/>
    <w:rsid w:val="005E7EDF"/>
    <w:rsid w:val="006006C8"/>
    <w:rsid w:val="00601639"/>
    <w:rsid w:val="0060170E"/>
    <w:rsid w:val="0060270B"/>
    <w:rsid w:val="00607115"/>
    <w:rsid w:val="00611224"/>
    <w:rsid w:val="006117D7"/>
    <w:rsid w:val="00611D82"/>
    <w:rsid w:val="00612DC0"/>
    <w:rsid w:val="00614575"/>
    <w:rsid w:val="00616564"/>
    <w:rsid w:val="00617994"/>
    <w:rsid w:val="00622149"/>
    <w:rsid w:val="00625184"/>
    <w:rsid w:val="00627293"/>
    <w:rsid w:val="0063135D"/>
    <w:rsid w:val="0063462E"/>
    <w:rsid w:val="006359A2"/>
    <w:rsid w:val="0064262C"/>
    <w:rsid w:val="006462B4"/>
    <w:rsid w:val="006630DC"/>
    <w:rsid w:val="006655E1"/>
    <w:rsid w:val="00665EC9"/>
    <w:rsid w:val="00671E82"/>
    <w:rsid w:val="006753AD"/>
    <w:rsid w:val="006753F9"/>
    <w:rsid w:val="006762C4"/>
    <w:rsid w:val="00681E85"/>
    <w:rsid w:val="00684920"/>
    <w:rsid w:val="00686F07"/>
    <w:rsid w:val="006879BB"/>
    <w:rsid w:val="00691C39"/>
    <w:rsid w:val="0069287D"/>
    <w:rsid w:val="006A1307"/>
    <w:rsid w:val="006C4A7A"/>
    <w:rsid w:val="006F703A"/>
    <w:rsid w:val="00700AFB"/>
    <w:rsid w:val="00721B9B"/>
    <w:rsid w:val="00723092"/>
    <w:rsid w:val="00732658"/>
    <w:rsid w:val="00733A53"/>
    <w:rsid w:val="0074175D"/>
    <w:rsid w:val="00745572"/>
    <w:rsid w:val="00745E4A"/>
    <w:rsid w:val="00747946"/>
    <w:rsid w:val="00750218"/>
    <w:rsid w:val="007524D0"/>
    <w:rsid w:val="00767B77"/>
    <w:rsid w:val="0077077B"/>
    <w:rsid w:val="00773F5C"/>
    <w:rsid w:val="0077475F"/>
    <w:rsid w:val="007771B0"/>
    <w:rsid w:val="00780F35"/>
    <w:rsid w:val="007924F7"/>
    <w:rsid w:val="007954B4"/>
    <w:rsid w:val="007A1E48"/>
    <w:rsid w:val="007B0EDD"/>
    <w:rsid w:val="007B12C5"/>
    <w:rsid w:val="007B70F1"/>
    <w:rsid w:val="007C052E"/>
    <w:rsid w:val="007C3B12"/>
    <w:rsid w:val="007C455F"/>
    <w:rsid w:val="007C4B39"/>
    <w:rsid w:val="007C5FE7"/>
    <w:rsid w:val="007C6D95"/>
    <w:rsid w:val="007C7833"/>
    <w:rsid w:val="007D1C58"/>
    <w:rsid w:val="007D3033"/>
    <w:rsid w:val="007F2582"/>
    <w:rsid w:val="007F5449"/>
    <w:rsid w:val="00824A97"/>
    <w:rsid w:val="0082525E"/>
    <w:rsid w:val="00833FDB"/>
    <w:rsid w:val="00835195"/>
    <w:rsid w:val="00837048"/>
    <w:rsid w:val="00850F7D"/>
    <w:rsid w:val="008540FD"/>
    <w:rsid w:val="008602E3"/>
    <w:rsid w:val="0087197F"/>
    <w:rsid w:val="008749CA"/>
    <w:rsid w:val="008830A0"/>
    <w:rsid w:val="00890EF2"/>
    <w:rsid w:val="0089228B"/>
    <w:rsid w:val="008965B0"/>
    <w:rsid w:val="008966AB"/>
    <w:rsid w:val="0089780D"/>
    <w:rsid w:val="008A093B"/>
    <w:rsid w:val="008A4542"/>
    <w:rsid w:val="008B5F80"/>
    <w:rsid w:val="008C7F4A"/>
    <w:rsid w:val="008D108F"/>
    <w:rsid w:val="008D457E"/>
    <w:rsid w:val="008E0735"/>
    <w:rsid w:val="008E250E"/>
    <w:rsid w:val="008E30EC"/>
    <w:rsid w:val="008E586E"/>
    <w:rsid w:val="008F09C2"/>
    <w:rsid w:val="00900085"/>
    <w:rsid w:val="00903639"/>
    <w:rsid w:val="00903DE7"/>
    <w:rsid w:val="009122A1"/>
    <w:rsid w:val="00916F5F"/>
    <w:rsid w:val="0091772E"/>
    <w:rsid w:val="00926381"/>
    <w:rsid w:val="00933D5F"/>
    <w:rsid w:val="00935F78"/>
    <w:rsid w:val="0094029C"/>
    <w:rsid w:val="00941554"/>
    <w:rsid w:val="009500B9"/>
    <w:rsid w:val="00953A71"/>
    <w:rsid w:val="0096420B"/>
    <w:rsid w:val="00970E0F"/>
    <w:rsid w:val="009754FF"/>
    <w:rsid w:val="00976B13"/>
    <w:rsid w:val="0097702B"/>
    <w:rsid w:val="009770ED"/>
    <w:rsid w:val="0097797A"/>
    <w:rsid w:val="009807D7"/>
    <w:rsid w:val="009815C9"/>
    <w:rsid w:val="00992B80"/>
    <w:rsid w:val="00995EAF"/>
    <w:rsid w:val="00996714"/>
    <w:rsid w:val="009A0118"/>
    <w:rsid w:val="009A0D2B"/>
    <w:rsid w:val="009A142A"/>
    <w:rsid w:val="009A7571"/>
    <w:rsid w:val="009B0704"/>
    <w:rsid w:val="009B1457"/>
    <w:rsid w:val="009B3374"/>
    <w:rsid w:val="009D2C5B"/>
    <w:rsid w:val="009D4F74"/>
    <w:rsid w:val="009E004B"/>
    <w:rsid w:val="009F34F6"/>
    <w:rsid w:val="009F75BC"/>
    <w:rsid w:val="00A0126E"/>
    <w:rsid w:val="00A10F76"/>
    <w:rsid w:val="00A276F1"/>
    <w:rsid w:val="00A31DCB"/>
    <w:rsid w:val="00A3200A"/>
    <w:rsid w:val="00A36591"/>
    <w:rsid w:val="00A43B89"/>
    <w:rsid w:val="00A5430C"/>
    <w:rsid w:val="00A60737"/>
    <w:rsid w:val="00A72302"/>
    <w:rsid w:val="00A757E0"/>
    <w:rsid w:val="00A81EE7"/>
    <w:rsid w:val="00A905C8"/>
    <w:rsid w:val="00A93BF0"/>
    <w:rsid w:val="00A946F6"/>
    <w:rsid w:val="00AA2482"/>
    <w:rsid w:val="00AC072A"/>
    <w:rsid w:val="00AC6C2D"/>
    <w:rsid w:val="00AD049D"/>
    <w:rsid w:val="00AF0D62"/>
    <w:rsid w:val="00AF65D7"/>
    <w:rsid w:val="00B0179E"/>
    <w:rsid w:val="00B0313E"/>
    <w:rsid w:val="00B1189B"/>
    <w:rsid w:val="00B23986"/>
    <w:rsid w:val="00B42560"/>
    <w:rsid w:val="00B43246"/>
    <w:rsid w:val="00B44C85"/>
    <w:rsid w:val="00B54BB3"/>
    <w:rsid w:val="00B724AF"/>
    <w:rsid w:val="00B74CF3"/>
    <w:rsid w:val="00B7643B"/>
    <w:rsid w:val="00B83ADB"/>
    <w:rsid w:val="00B86239"/>
    <w:rsid w:val="00B979B2"/>
    <w:rsid w:val="00BA11FD"/>
    <w:rsid w:val="00BA2A12"/>
    <w:rsid w:val="00BB1979"/>
    <w:rsid w:val="00BC4E5D"/>
    <w:rsid w:val="00BD1993"/>
    <w:rsid w:val="00BD3F00"/>
    <w:rsid w:val="00BD5726"/>
    <w:rsid w:val="00BD6154"/>
    <w:rsid w:val="00BE1356"/>
    <w:rsid w:val="00BE57DE"/>
    <w:rsid w:val="00BE599E"/>
    <w:rsid w:val="00C02206"/>
    <w:rsid w:val="00C02E9F"/>
    <w:rsid w:val="00C11F21"/>
    <w:rsid w:val="00C2149B"/>
    <w:rsid w:val="00C22376"/>
    <w:rsid w:val="00C36F55"/>
    <w:rsid w:val="00C45ADB"/>
    <w:rsid w:val="00C56240"/>
    <w:rsid w:val="00C62C85"/>
    <w:rsid w:val="00C816C0"/>
    <w:rsid w:val="00C83EF5"/>
    <w:rsid w:val="00C92400"/>
    <w:rsid w:val="00C937D7"/>
    <w:rsid w:val="00C9496B"/>
    <w:rsid w:val="00C949EF"/>
    <w:rsid w:val="00C95337"/>
    <w:rsid w:val="00C96535"/>
    <w:rsid w:val="00CB468B"/>
    <w:rsid w:val="00CB5D87"/>
    <w:rsid w:val="00CB6E73"/>
    <w:rsid w:val="00CD33C1"/>
    <w:rsid w:val="00CD55EA"/>
    <w:rsid w:val="00CD5CB6"/>
    <w:rsid w:val="00CE2D52"/>
    <w:rsid w:val="00D061E9"/>
    <w:rsid w:val="00D07C50"/>
    <w:rsid w:val="00D101C1"/>
    <w:rsid w:val="00D104A9"/>
    <w:rsid w:val="00D104AA"/>
    <w:rsid w:val="00D13769"/>
    <w:rsid w:val="00D159A2"/>
    <w:rsid w:val="00D201AC"/>
    <w:rsid w:val="00D20B2D"/>
    <w:rsid w:val="00D30ACC"/>
    <w:rsid w:val="00D30E9B"/>
    <w:rsid w:val="00D355A2"/>
    <w:rsid w:val="00D371D7"/>
    <w:rsid w:val="00D42195"/>
    <w:rsid w:val="00D4389C"/>
    <w:rsid w:val="00D44786"/>
    <w:rsid w:val="00D465EA"/>
    <w:rsid w:val="00D57C47"/>
    <w:rsid w:val="00D6697E"/>
    <w:rsid w:val="00D73192"/>
    <w:rsid w:val="00D83838"/>
    <w:rsid w:val="00D87DF0"/>
    <w:rsid w:val="00D94881"/>
    <w:rsid w:val="00DA1E30"/>
    <w:rsid w:val="00DA5572"/>
    <w:rsid w:val="00DA6BD9"/>
    <w:rsid w:val="00DC4042"/>
    <w:rsid w:val="00DC77CD"/>
    <w:rsid w:val="00DE35D8"/>
    <w:rsid w:val="00DE39CA"/>
    <w:rsid w:val="00DE6F93"/>
    <w:rsid w:val="00DF14BA"/>
    <w:rsid w:val="00DF5947"/>
    <w:rsid w:val="00E01644"/>
    <w:rsid w:val="00E06239"/>
    <w:rsid w:val="00E11FF9"/>
    <w:rsid w:val="00E14A61"/>
    <w:rsid w:val="00E2107D"/>
    <w:rsid w:val="00E21532"/>
    <w:rsid w:val="00E24025"/>
    <w:rsid w:val="00E27681"/>
    <w:rsid w:val="00E3064F"/>
    <w:rsid w:val="00E34827"/>
    <w:rsid w:val="00E402EC"/>
    <w:rsid w:val="00E450B7"/>
    <w:rsid w:val="00E50D2D"/>
    <w:rsid w:val="00E51F47"/>
    <w:rsid w:val="00E53955"/>
    <w:rsid w:val="00E571AF"/>
    <w:rsid w:val="00E93DB6"/>
    <w:rsid w:val="00E96079"/>
    <w:rsid w:val="00E96429"/>
    <w:rsid w:val="00EA03B5"/>
    <w:rsid w:val="00EA1A81"/>
    <w:rsid w:val="00EB0606"/>
    <w:rsid w:val="00EB3065"/>
    <w:rsid w:val="00EB4C04"/>
    <w:rsid w:val="00EC15B9"/>
    <w:rsid w:val="00EC59A7"/>
    <w:rsid w:val="00EC6129"/>
    <w:rsid w:val="00ED0AAD"/>
    <w:rsid w:val="00ED3F8B"/>
    <w:rsid w:val="00EE205A"/>
    <w:rsid w:val="00EE2E23"/>
    <w:rsid w:val="00EE67FD"/>
    <w:rsid w:val="00EF3BAC"/>
    <w:rsid w:val="00F013B3"/>
    <w:rsid w:val="00F032AE"/>
    <w:rsid w:val="00F05391"/>
    <w:rsid w:val="00F05CAA"/>
    <w:rsid w:val="00F111DF"/>
    <w:rsid w:val="00F11C36"/>
    <w:rsid w:val="00F15D7D"/>
    <w:rsid w:val="00F16A98"/>
    <w:rsid w:val="00F3292C"/>
    <w:rsid w:val="00F34A0B"/>
    <w:rsid w:val="00F40FE6"/>
    <w:rsid w:val="00F42308"/>
    <w:rsid w:val="00F45284"/>
    <w:rsid w:val="00F50B35"/>
    <w:rsid w:val="00F50F50"/>
    <w:rsid w:val="00F51FF7"/>
    <w:rsid w:val="00F60AB6"/>
    <w:rsid w:val="00F64D2A"/>
    <w:rsid w:val="00F66400"/>
    <w:rsid w:val="00F75607"/>
    <w:rsid w:val="00F7684C"/>
    <w:rsid w:val="00F830E4"/>
    <w:rsid w:val="00F8348A"/>
    <w:rsid w:val="00F85609"/>
    <w:rsid w:val="00F93409"/>
    <w:rsid w:val="00F94738"/>
    <w:rsid w:val="00F94DB1"/>
    <w:rsid w:val="00F96A20"/>
    <w:rsid w:val="00F972BA"/>
    <w:rsid w:val="00FA1289"/>
    <w:rsid w:val="00FA5CE7"/>
    <w:rsid w:val="00FA7AF4"/>
    <w:rsid w:val="00FC090F"/>
    <w:rsid w:val="00FC4D2C"/>
    <w:rsid w:val="00FC7608"/>
    <w:rsid w:val="00FD109C"/>
    <w:rsid w:val="00FD198C"/>
    <w:rsid w:val="00FD2FF9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150C"/>
  <w15:docId w15:val="{3E4ADBA8-33DE-41D1-B399-6A0141C5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aliases w:val="Paragraphe de liste du rapport,Colorful List - Accent 11,Bullet 1,List Paragrap,Colorful List - Accent 12,Bullet Styl,Bullet,No Spacing11,L,Párrafo de lista,Recommendation,Recommendati,Recommendatio,List Paragraph3,List Paragra,Maire"/>
    <w:basedOn w:val="Normal"/>
    <w:link w:val="ParagraphedelisteCar"/>
    <w:uiPriority w:val="34"/>
    <w:qFormat/>
    <w:rsid w:val="009A7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E57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57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57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7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7DE"/>
    <w:rPr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1350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character" w:customStyle="1" w:styleId="ParagraphedelisteCar">
    <w:name w:val="Paragraphe de liste Car"/>
    <w:aliases w:val="Paragraphe de liste du rapport Car,Colorful List - Accent 11 Car,Bullet 1 Car,List Paragrap Car,Colorful List - Accent 12 Car,Bullet Styl Car,Bullet Car,No Spacing11 Car,L Car,Párrafo de lista Car,Recommendation Car,Maire Car"/>
    <w:basedOn w:val="Policepardfaut"/>
    <w:link w:val="Paragraphedeliste"/>
    <w:uiPriority w:val="34"/>
    <w:qFormat/>
    <w:rsid w:val="0013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8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0362-ED6B-48B9-BBE6-769EDE88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LEVESQUE Jonathan</cp:lastModifiedBy>
  <cp:revision>2</cp:revision>
  <cp:lastPrinted>2021-09-15T15:16:00Z</cp:lastPrinted>
  <dcterms:created xsi:type="dcterms:W3CDTF">2022-01-24T09:49:00Z</dcterms:created>
  <dcterms:modified xsi:type="dcterms:W3CDTF">2022-01-24T09:49:00Z</dcterms:modified>
</cp:coreProperties>
</file>