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D9853" w14:textId="31AAC1DB" w:rsidR="00687BE5" w:rsidRPr="00F23A18" w:rsidRDefault="00A2571B" w:rsidP="00F23A18">
      <w:pPr>
        <w:spacing w:line="276" w:lineRule="auto"/>
        <w:rPr>
          <w:rFonts w:ascii="Arial" w:hAnsi="Arial" w:cs="Arial"/>
          <w:b/>
        </w:rPr>
      </w:pPr>
      <w:r w:rsidRPr="00CF213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EDBC433" wp14:editId="242F45DE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22555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345" y="21145"/>
                <wp:lineTo x="21345" y="0"/>
                <wp:lineTo x="0" y="0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CAC36" w14:textId="77777777" w:rsidR="00AE37CA" w:rsidRPr="00F23A18" w:rsidRDefault="00AE37CA" w:rsidP="00A37306">
      <w:pPr>
        <w:spacing w:line="276" w:lineRule="auto"/>
        <w:jc w:val="right"/>
        <w:rPr>
          <w:rFonts w:ascii="Arial" w:hAnsi="Arial" w:cs="Arial"/>
        </w:rPr>
      </w:pPr>
    </w:p>
    <w:p w14:paraId="432DC9E5" w14:textId="77777777" w:rsidR="00A2571B" w:rsidRDefault="00A2571B" w:rsidP="00A37306">
      <w:pPr>
        <w:spacing w:line="276" w:lineRule="auto"/>
        <w:jc w:val="right"/>
        <w:rPr>
          <w:rFonts w:ascii="Arial" w:hAnsi="Arial" w:cs="Arial"/>
        </w:rPr>
      </w:pPr>
    </w:p>
    <w:p w14:paraId="0EBA23E1" w14:textId="77777777" w:rsidR="00A2571B" w:rsidRDefault="00A2571B" w:rsidP="00A37306">
      <w:pPr>
        <w:spacing w:line="276" w:lineRule="auto"/>
        <w:jc w:val="right"/>
        <w:rPr>
          <w:rFonts w:ascii="Arial" w:hAnsi="Arial" w:cs="Arial"/>
        </w:rPr>
      </w:pPr>
    </w:p>
    <w:p w14:paraId="7A122FA8" w14:textId="77777777" w:rsidR="00A2571B" w:rsidRDefault="00A2571B" w:rsidP="00A37306">
      <w:pPr>
        <w:spacing w:line="276" w:lineRule="auto"/>
        <w:jc w:val="right"/>
        <w:rPr>
          <w:rFonts w:ascii="Arial" w:hAnsi="Arial" w:cs="Arial"/>
        </w:rPr>
      </w:pPr>
    </w:p>
    <w:p w14:paraId="4338719E" w14:textId="7C2C4DFA" w:rsidR="00687BE5" w:rsidRDefault="005C0B09" w:rsidP="00A37306">
      <w:pPr>
        <w:spacing w:line="276" w:lineRule="auto"/>
        <w:jc w:val="right"/>
        <w:rPr>
          <w:rFonts w:ascii="Arial" w:hAnsi="Arial" w:cs="Arial"/>
        </w:rPr>
      </w:pPr>
      <w:r w:rsidRPr="00F23A18">
        <w:rPr>
          <w:rFonts w:ascii="Arial" w:hAnsi="Arial" w:cs="Arial"/>
        </w:rPr>
        <w:t xml:space="preserve">Paris, le </w:t>
      </w:r>
      <w:r w:rsidR="00F23A18">
        <w:rPr>
          <w:rFonts w:ascii="Arial" w:hAnsi="Arial" w:cs="Arial"/>
        </w:rPr>
        <w:t>8</w:t>
      </w:r>
      <w:r w:rsidR="00157328" w:rsidRPr="00F23A18">
        <w:rPr>
          <w:rFonts w:ascii="Arial" w:hAnsi="Arial" w:cs="Arial"/>
        </w:rPr>
        <w:t xml:space="preserve"> </w:t>
      </w:r>
      <w:r w:rsidR="006C410F" w:rsidRPr="00F23A18">
        <w:rPr>
          <w:rFonts w:ascii="Arial" w:hAnsi="Arial" w:cs="Arial"/>
        </w:rPr>
        <w:t>avril 2022</w:t>
      </w:r>
    </w:p>
    <w:p w14:paraId="4AB85A25" w14:textId="77777777" w:rsidR="00DA5553" w:rsidRPr="00F23A18" w:rsidRDefault="00DA5553" w:rsidP="00A37306">
      <w:pPr>
        <w:spacing w:line="276" w:lineRule="auto"/>
        <w:jc w:val="right"/>
        <w:rPr>
          <w:rFonts w:ascii="Arial" w:hAnsi="Arial" w:cs="Arial"/>
        </w:rPr>
      </w:pPr>
    </w:p>
    <w:p w14:paraId="558744E6" w14:textId="4AA94D5F" w:rsidR="00A37306" w:rsidRDefault="00056CFF" w:rsidP="00785D90">
      <w:pPr>
        <w:spacing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 w:rsidRPr="00F23A18">
        <w:rPr>
          <w:rFonts w:ascii="Arial" w:hAnsi="Arial" w:cs="Arial"/>
          <w:b/>
          <w:caps/>
          <w:color w:val="000000" w:themeColor="text1"/>
          <w:sz w:val="24"/>
          <w:szCs w:val="24"/>
        </w:rPr>
        <w:t>CommuniquÉ</w:t>
      </w:r>
      <w:r w:rsidR="00A37306" w:rsidRPr="00F23A18">
        <w:rPr>
          <w:rFonts w:ascii="Arial" w:hAnsi="Arial" w:cs="Arial"/>
          <w:b/>
          <w:caps/>
          <w:color w:val="000000" w:themeColor="text1"/>
          <w:sz w:val="24"/>
          <w:szCs w:val="24"/>
        </w:rPr>
        <w:t xml:space="preserve"> de presse</w:t>
      </w:r>
    </w:p>
    <w:p w14:paraId="5C0A0396" w14:textId="77777777" w:rsidR="00785D90" w:rsidRPr="00F23A18" w:rsidRDefault="00785D90" w:rsidP="00785D90">
      <w:pPr>
        <w:spacing w:after="0" w:line="276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</w:rPr>
      </w:pPr>
    </w:p>
    <w:p w14:paraId="37BDD828" w14:textId="77777777" w:rsidR="00785D90" w:rsidRDefault="00D33840" w:rsidP="00785D9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3A18">
        <w:rPr>
          <w:rFonts w:ascii="Arial" w:hAnsi="Arial" w:cs="Arial"/>
          <w:b/>
          <w:bCs/>
          <w:sz w:val="24"/>
          <w:szCs w:val="24"/>
        </w:rPr>
        <w:t>Accessibilité du processus électoral aux personnes en situation de handicap</w:t>
      </w:r>
      <w:r w:rsidR="00785D90">
        <w:rPr>
          <w:rFonts w:ascii="Arial" w:hAnsi="Arial" w:cs="Arial"/>
          <w:b/>
          <w:bCs/>
          <w:sz w:val="24"/>
          <w:szCs w:val="24"/>
        </w:rPr>
        <w:t> :</w:t>
      </w:r>
    </w:p>
    <w:p w14:paraId="5E70530F" w14:textId="3BD6BA82" w:rsidR="00D33840" w:rsidRPr="00F23A18" w:rsidRDefault="00CA09DD" w:rsidP="00785D9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3A18">
        <w:rPr>
          <w:rFonts w:ascii="Arial" w:hAnsi="Arial" w:cs="Arial"/>
          <w:b/>
          <w:bCs/>
          <w:sz w:val="24"/>
          <w:szCs w:val="24"/>
        </w:rPr>
        <w:t>mise à jour des trois mémentos pratiques</w:t>
      </w:r>
    </w:p>
    <w:p w14:paraId="128900DB" w14:textId="77777777" w:rsidR="00993AE3" w:rsidRPr="00F23A18" w:rsidRDefault="00993AE3" w:rsidP="001C2528">
      <w:pPr>
        <w:spacing w:line="276" w:lineRule="auto"/>
        <w:jc w:val="both"/>
        <w:rPr>
          <w:rStyle w:val="lev"/>
          <w:rFonts w:ascii="Arial" w:hAnsi="Arial" w:cs="Arial"/>
          <w:b w:val="0"/>
        </w:rPr>
      </w:pPr>
    </w:p>
    <w:p w14:paraId="5DF41DF5" w14:textId="3E77BC8B" w:rsidR="001C2528" w:rsidRPr="00F23A18" w:rsidRDefault="001C2528" w:rsidP="00F23A18">
      <w:pPr>
        <w:spacing w:line="276" w:lineRule="auto"/>
        <w:jc w:val="both"/>
        <w:rPr>
          <w:rFonts w:ascii="Arial" w:hAnsi="Arial" w:cs="Arial"/>
        </w:rPr>
      </w:pPr>
      <w:r w:rsidRPr="00F23A18">
        <w:rPr>
          <w:rStyle w:val="lev"/>
          <w:rFonts w:ascii="Arial" w:hAnsi="Arial" w:cs="Arial"/>
          <w:b w:val="0"/>
        </w:rPr>
        <w:t xml:space="preserve">L’accessibilité des bureaux de vote et des opérations électorales fait l’objet d’une réglementation issue de la </w:t>
      </w:r>
      <w:r w:rsidRPr="00F23A18">
        <w:rPr>
          <w:rStyle w:val="lev"/>
          <w:rFonts w:ascii="Arial" w:hAnsi="Arial" w:cs="Arial"/>
        </w:rPr>
        <w:t>loi du 11 février 2005</w:t>
      </w:r>
      <w:r w:rsidRPr="00F23A18">
        <w:rPr>
          <w:rFonts w:ascii="Arial" w:hAnsi="Arial" w:cs="Arial"/>
          <w:b/>
        </w:rPr>
        <w:t>, pour l’égalité des droits et des chances, la participation et la citoyenneté des personnes handicapées</w:t>
      </w:r>
      <w:r w:rsidRPr="00F23A18">
        <w:rPr>
          <w:rFonts w:ascii="Arial" w:hAnsi="Arial" w:cs="Arial"/>
        </w:rPr>
        <w:t>.</w:t>
      </w:r>
      <w:r w:rsidRPr="00F23A18">
        <w:rPr>
          <w:rStyle w:val="lev"/>
          <w:rFonts w:ascii="Arial" w:hAnsi="Arial" w:cs="Arial"/>
          <w:b w:val="0"/>
        </w:rPr>
        <w:t xml:space="preserve"> La participation des personnes handicapées à la vie politique et publique est garantie</w:t>
      </w:r>
      <w:r w:rsidRPr="00F23A18">
        <w:rPr>
          <w:rFonts w:ascii="Arial" w:hAnsi="Arial" w:cs="Arial"/>
          <w:b/>
        </w:rPr>
        <w:t xml:space="preserve"> </w:t>
      </w:r>
      <w:r w:rsidRPr="00F23A18">
        <w:rPr>
          <w:rFonts w:ascii="Arial" w:hAnsi="Arial" w:cs="Arial"/>
        </w:rPr>
        <w:t>par la</w:t>
      </w:r>
      <w:r w:rsidRPr="00F23A18">
        <w:rPr>
          <w:rFonts w:ascii="Arial" w:hAnsi="Arial" w:cs="Arial"/>
          <w:b/>
        </w:rPr>
        <w:t xml:space="preserve"> </w:t>
      </w:r>
      <w:r w:rsidRPr="00F23A18">
        <w:rPr>
          <w:rStyle w:val="lev"/>
          <w:rFonts w:ascii="Arial" w:hAnsi="Arial" w:cs="Arial"/>
          <w:b w:val="0"/>
        </w:rPr>
        <w:t>convention relative aux droits des personnes handicapées des Nations Unies</w:t>
      </w:r>
      <w:r w:rsidRPr="00F23A18">
        <w:rPr>
          <w:rFonts w:ascii="Arial" w:hAnsi="Arial" w:cs="Arial"/>
          <w:b/>
        </w:rPr>
        <w:t xml:space="preserve"> </w:t>
      </w:r>
      <w:r w:rsidRPr="00F23A18">
        <w:rPr>
          <w:rFonts w:ascii="Arial" w:hAnsi="Arial" w:cs="Arial"/>
        </w:rPr>
        <w:t>ratifiée par la France.</w:t>
      </w:r>
    </w:p>
    <w:p w14:paraId="03F8E39C" w14:textId="021B1D50" w:rsidR="002B7A26" w:rsidRPr="00F23A18" w:rsidRDefault="00690BE6" w:rsidP="00F23A18">
      <w:pPr>
        <w:spacing w:line="276" w:lineRule="auto"/>
        <w:jc w:val="both"/>
        <w:rPr>
          <w:rFonts w:ascii="Arial" w:hAnsi="Arial" w:cs="Arial"/>
        </w:rPr>
      </w:pPr>
      <w:r w:rsidRPr="00F23A18">
        <w:rPr>
          <w:rFonts w:ascii="Arial" w:hAnsi="Arial" w:cs="Arial"/>
        </w:rPr>
        <w:t>Co-construits et élaborés</w:t>
      </w:r>
      <w:r w:rsidR="00290A11" w:rsidRPr="00F23A18">
        <w:rPr>
          <w:rFonts w:ascii="Arial" w:hAnsi="Arial" w:cs="Arial"/>
        </w:rPr>
        <w:t xml:space="preserve"> par le Ministère de l’intérieur et le Secrétariat d’Etat auprès du Premier ministre chargé des personnes handicapées </w:t>
      </w:r>
      <w:r w:rsidRPr="00F23A18">
        <w:rPr>
          <w:rFonts w:ascii="Arial" w:hAnsi="Arial" w:cs="Arial"/>
        </w:rPr>
        <w:t>en collaboration avec le Conseil national consultatif des personnes handicapées</w:t>
      </w:r>
      <w:r w:rsidR="00290A11" w:rsidRPr="00F23A18">
        <w:rPr>
          <w:rFonts w:ascii="Arial" w:hAnsi="Arial" w:cs="Arial"/>
        </w:rPr>
        <w:t xml:space="preserve"> présidé par Jérémie Boroy</w:t>
      </w:r>
      <w:r w:rsidRPr="00F23A18">
        <w:rPr>
          <w:rFonts w:ascii="Arial" w:hAnsi="Arial" w:cs="Arial"/>
          <w:b/>
        </w:rPr>
        <w:t xml:space="preserve">, trois mémentos pratiques </w:t>
      </w:r>
      <w:r w:rsidR="000B6C42" w:rsidRPr="00F23A18">
        <w:rPr>
          <w:rFonts w:ascii="Arial" w:hAnsi="Arial" w:cs="Arial"/>
          <w:b/>
        </w:rPr>
        <w:t>visant à favoriser</w:t>
      </w:r>
      <w:r w:rsidR="002B7A26" w:rsidRPr="00F23A18">
        <w:rPr>
          <w:rFonts w:ascii="Arial" w:hAnsi="Arial" w:cs="Arial"/>
          <w:b/>
        </w:rPr>
        <w:t xml:space="preserve"> l’accessibilité du processus électoral aux personnes en situation de handicap viennent d’être mis à jour</w:t>
      </w:r>
      <w:r w:rsidR="002B7A26" w:rsidRPr="00F23A18">
        <w:rPr>
          <w:rFonts w:ascii="Arial" w:hAnsi="Arial" w:cs="Arial"/>
        </w:rPr>
        <w:t xml:space="preserve"> et sont consultables sur le site suivant :</w:t>
      </w:r>
      <w:bookmarkStart w:id="0" w:name="_GoBack"/>
      <w:bookmarkEnd w:id="0"/>
    </w:p>
    <w:p w14:paraId="6F07231B" w14:textId="0D1D52EC" w:rsidR="002B7A26" w:rsidRPr="00F23A18" w:rsidRDefault="002B7A26" w:rsidP="00F23A18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23A18">
        <w:rPr>
          <w:rFonts w:ascii="Arial" w:hAnsi="Arial" w:cs="Arial"/>
        </w:rPr>
        <w:t xml:space="preserve">Secrétariat d’Etat chargé des personnes handicapées : </w:t>
      </w:r>
      <w:hyperlink r:id="rId9" w:history="1">
        <w:r w:rsidRPr="00F23A18">
          <w:rPr>
            <w:rStyle w:val="Lienhypertexte"/>
            <w:rFonts w:ascii="Arial" w:hAnsi="Arial" w:cs="Arial"/>
          </w:rPr>
          <w:t>https://handicap.gouv.fr/tout-savoir-sur-laccessibilite-des-elections-pour-les-personnes-en-situation-de-handicap</w:t>
        </w:r>
      </w:hyperlink>
    </w:p>
    <w:p w14:paraId="15F79942" w14:textId="6AC07A74" w:rsidR="000B6C42" w:rsidRPr="00F23A18" w:rsidRDefault="00E2601A" w:rsidP="00F23A18">
      <w:pPr>
        <w:spacing w:line="276" w:lineRule="auto"/>
        <w:jc w:val="both"/>
        <w:rPr>
          <w:rFonts w:ascii="Arial" w:hAnsi="Arial" w:cs="Arial"/>
          <w:bCs/>
        </w:rPr>
      </w:pPr>
      <w:r w:rsidRPr="00F23A18">
        <w:rPr>
          <w:rFonts w:ascii="Arial" w:hAnsi="Arial" w:cs="Arial"/>
        </w:rPr>
        <w:t>Les deux premiers mémentos</w:t>
      </w:r>
      <w:r w:rsidR="001C2528" w:rsidRPr="00F23A18">
        <w:rPr>
          <w:rFonts w:ascii="Arial" w:hAnsi="Arial" w:cs="Arial"/>
        </w:rPr>
        <w:t xml:space="preserve">, </w:t>
      </w:r>
      <w:r w:rsidR="001C2528" w:rsidRPr="00F23A18">
        <w:rPr>
          <w:rFonts w:ascii="Arial" w:hAnsi="Arial" w:cs="Arial"/>
          <w:b/>
        </w:rPr>
        <w:t xml:space="preserve">à destination </w:t>
      </w:r>
      <w:r w:rsidRPr="00F23A18">
        <w:rPr>
          <w:rFonts w:ascii="Arial" w:hAnsi="Arial" w:cs="Arial"/>
          <w:b/>
        </w:rPr>
        <w:t xml:space="preserve">des </w:t>
      </w:r>
      <w:r w:rsidR="00341CB1" w:rsidRPr="00F23A18">
        <w:rPr>
          <w:rFonts w:ascii="Arial" w:hAnsi="Arial" w:cs="Arial"/>
          <w:b/>
        </w:rPr>
        <w:t>candidats</w:t>
      </w:r>
      <w:r w:rsidR="00E538F5" w:rsidRPr="00F23A18">
        <w:rPr>
          <w:rFonts w:ascii="Arial" w:hAnsi="Arial" w:cs="Arial"/>
          <w:b/>
        </w:rPr>
        <w:t>, y compris ceux qui communiquent par internet, et des médias</w:t>
      </w:r>
      <w:r w:rsidR="001C2528" w:rsidRPr="00F23A18">
        <w:rPr>
          <w:rFonts w:ascii="Arial" w:hAnsi="Arial" w:cs="Arial"/>
        </w:rPr>
        <w:t xml:space="preserve">, </w:t>
      </w:r>
      <w:r w:rsidR="001C2528" w:rsidRPr="00F23A18">
        <w:rPr>
          <w:rFonts w:ascii="Arial" w:hAnsi="Arial" w:cs="Arial"/>
          <w:bCs/>
        </w:rPr>
        <w:t>présente</w:t>
      </w:r>
      <w:r w:rsidRPr="00F23A18">
        <w:rPr>
          <w:rFonts w:ascii="Arial" w:hAnsi="Arial" w:cs="Arial"/>
          <w:bCs/>
        </w:rPr>
        <w:t>nt</w:t>
      </w:r>
      <w:r w:rsidR="001C2528" w:rsidRPr="00F23A18">
        <w:rPr>
          <w:rFonts w:ascii="Arial" w:hAnsi="Arial" w:cs="Arial"/>
          <w:bCs/>
        </w:rPr>
        <w:t xml:space="preserve"> les règles ainsi que des recommandations permettant d’améliorer </w:t>
      </w:r>
      <w:r w:rsidR="001C2528" w:rsidRPr="00F23A18">
        <w:rPr>
          <w:rFonts w:ascii="Arial" w:hAnsi="Arial" w:cs="Arial"/>
          <w:b/>
          <w:bCs/>
        </w:rPr>
        <w:t>l’accessibilité des campagnes électorales</w:t>
      </w:r>
      <w:r w:rsidR="001C2528" w:rsidRPr="00F23A18">
        <w:rPr>
          <w:rFonts w:ascii="Arial" w:hAnsi="Arial" w:cs="Arial"/>
          <w:bCs/>
        </w:rPr>
        <w:t>.</w:t>
      </w:r>
    </w:p>
    <w:p w14:paraId="50FEFA55" w14:textId="7DD0BB6E" w:rsidR="001C2528" w:rsidRPr="00F23A18" w:rsidRDefault="00E2601A" w:rsidP="00F23A18">
      <w:pPr>
        <w:spacing w:line="276" w:lineRule="auto"/>
        <w:jc w:val="both"/>
        <w:rPr>
          <w:rStyle w:val="lev"/>
          <w:rFonts w:ascii="Arial" w:hAnsi="Arial" w:cs="Arial"/>
          <w:b w:val="0"/>
        </w:rPr>
      </w:pPr>
      <w:r w:rsidRPr="00F23A18">
        <w:rPr>
          <w:rFonts w:ascii="Arial" w:hAnsi="Arial" w:cs="Arial"/>
          <w:b/>
          <w:bCs/>
        </w:rPr>
        <w:t>D</w:t>
      </w:r>
      <w:r w:rsidR="001C2528" w:rsidRPr="00F23A18">
        <w:rPr>
          <w:rFonts w:ascii="Arial" w:hAnsi="Arial" w:cs="Arial"/>
          <w:b/>
          <w:bCs/>
        </w:rPr>
        <w:t>estiné aux organisateurs de scrutin</w:t>
      </w:r>
      <w:r w:rsidR="00993AE3" w:rsidRPr="00F23A18">
        <w:rPr>
          <w:rFonts w:ascii="Arial" w:hAnsi="Arial" w:cs="Arial"/>
          <w:bCs/>
        </w:rPr>
        <w:t xml:space="preserve">, </w:t>
      </w:r>
      <w:r w:rsidRPr="00F23A18">
        <w:rPr>
          <w:rFonts w:ascii="Arial" w:hAnsi="Arial" w:cs="Arial"/>
          <w:bCs/>
        </w:rPr>
        <w:t xml:space="preserve">le troisième mémento </w:t>
      </w:r>
      <w:r w:rsidRPr="00F23A18">
        <w:rPr>
          <w:rFonts w:ascii="Arial" w:hAnsi="Arial" w:cs="Arial"/>
        </w:rPr>
        <w:t>présente l</w:t>
      </w:r>
      <w:r w:rsidR="001C2528" w:rsidRPr="00F23A18">
        <w:rPr>
          <w:rFonts w:ascii="Arial" w:hAnsi="Arial" w:cs="Arial"/>
        </w:rPr>
        <w:t xml:space="preserve">es règles ainsi que des recommandations permettant d’améliorer </w:t>
      </w:r>
      <w:r w:rsidR="001C2528" w:rsidRPr="00F23A18">
        <w:rPr>
          <w:rFonts w:ascii="Arial" w:hAnsi="Arial" w:cs="Arial"/>
          <w:b/>
        </w:rPr>
        <w:t>l’accessibilité des opérations de vote</w:t>
      </w:r>
      <w:r w:rsidR="00F23A18">
        <w:rPr>
          <w:rFonts w:ascii="Arial" w:hAnsi="Arial" w:cs="Arial"/>
        </w:rPr>
        <w:t>.</w:t>
      </w:r>
    </w:p>
    <w:p w14:paraId="1DF9D14F" w14:textId="5431504A" w:rsidR="00E2601A" w:rsidRPr="00F23A18" w:rsidRDefault="00E538F5" w:rsidP="00F23A18">
      <w:pPr>
        <w:spacing w:line="276" w:lineRule="auto"/>
        <w:jc w:val="both"/>
        <w:rPr>
          <w:rFonts w:ascii="Arial" w:hAnsi="Arial" w:cs="Arial"/>
          <w:bCs/>
        </w:rPr>
      </w:pPr>
      <w:r w:rsidRPr="00F23A18">
        <w:rPr>
          <w:rFonts w:ascii="Arial" w:hAnsi="Arial" w:cs="Arial"/>
          <w:bCs/>
        </w:rPr>
        <w:t>L</w:t>
      </w:r>
      <w:r w:rsidR="00E2601A" w:rsidRPr="00F23A18">
        <w:rPr>
          <w:rFonts w:ascii="Arial" w:hAnsi="Arial" w:cs="Arial"/>
          <w:bCs/>
        </w:rPr>
        <w:t xml:space="preserve">es obligations légales et règlementaires présentées dans </w:t>
      </w:r>
      <w:r w:rsidRPr="00F23A18">
        <w:rPr>
          <w:rFonts w:ascii="Arial" w:hAnsi="Arial" w:cs="Arial"/>
          <w:bCs/>
        </w:rPr>
        <w:t>les guides</w:t>
      </w:r>
      <w:r w:rsidR="00E2601A" w:rsidRPr="00F23A18">
        <w:rPr>
          <w:rFonts w:ascii="Arial" w:hAnsi="Arial" w:cs="Arial"/>
          <w:bCs/>
        </w:rPr>
        <w:t xml:space="preserve"> sont </w:t>
      </w:r>
      <w:r w:rsidRPr="00F23A18">
        <w:rPr>
          <w:rFonts w:ascii="Arial" w:hAnsi="Arial" w:cs="Arial"/>
          <w:bCs/>
        </w:rPr>
        <w:t xml:space="preserve">par ailleurs </w:t>
      </w:r>
      <w:r w:rsidR="00E2601A" w:rsidRPr="00F23A18">
        <w:rPr>
          <w:rFonts w:ascii="Arial" w:hAnsi="Arial" w:cs="Arial"/>
          <w:bCs/>
        </w:rPr>
        <w:t>précisées au chapitre « Références législatives et règlementaires ».</w:t>
      </w:r>
    </w:p>
    <w:p w14:paraId="02E21961" w14:textId="77777777" w:rsidR="00AE37CA" w:rsidRPr="00F23A18" w:rsidRDefault="00AE37CA" w:rsidP="00F23A18">
      <w:pPr>
        <w:spacing w:line="276" w:lineRule="auto"/>
        <w:rPr>
          <w:rFonts w:ascii="Arial" w:hAnsi="Arial" w:cs="Arial"/>
          <w:bCs/>
        </w:rPr>
      </w:pPr>
    </w:p>
    <w:p w14:paraId="1B6ECB17" w14:textId="298989E8" w:rsidR="00AE37CA" w:rsidRDefault="00FF7737" w:rsidP="00A2571B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Contact médias</w:t>
      </w:r>
    </w:p>
    <w:p w14:paraId="1B58E63E" w14:textId="3C8586E8" w:rsidR="0020062A" w:rsidRDefault="0020062A" w:rsidP="00A2571B">
      <w:pPr>
        <w:spacing w:after="0" w:line="276" w:lineRule="auto"/>
        <w:jc w:val="center"/>
        <w:rPr>
          <w:rFonts w:ascii="Arial" w:hAnsi="Arial" w:cs="Arial"/>
          <w:b/>
        </w:rPr>
      </w:pPr>
    </w:p>
    <w:p w14:paraId="077ACB09" w14:textId="273111A7" w:rsidR="00A2571B" w:rsidRPr="0020062A" w:rsidRDefault="00A2571B" w:rsidP="00A2571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Secrétariat d’Etat chargé des </w:t>
      </w:r>
      <w:r w:rsidR="00FF7737">
        <w:rPr>
          <w:rFonts w:ascii="Arial" w:hAnsi="Arial" w:cs="Arial"/>
          <w:b/>
        </w:rPr>
        <w:t>Personnes handicapées</w:t>
      </w:r>
    </w:p>
    <w:p w14:paraId="69953677" w14:textId="0CCBDB55" w:rsidR="0020062A" w:rsidRPr="0020062A" w:rsidRDefault="00E32B22" w:rsidP="00A2571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hyperlink r:id="rId10" w:history="1">
        <w:r w:rsidR="00A2571B" w:rsidRPr="0020062A">
          <w:rPr>
            <w:rStyle w:val="Lienhypertexte"/>
            <w:rFonts w:ascii="Arial" w:hAnsi="Arial" w:cs="Arial"/>
            <w:b/>
            <w:color w:val="auto"/>
          </w:rPr>
          <w:t>seph.communication@pm.gouv.fr</w:t>
        </w:r>
      </w:hyperlink>
    </w:p>
    <w:sectPr w:rsidR="0020062A" w:rsidRPr="0020062A" w:rsidSect="00DA5553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F561" w14:textId="77777777" w:rsidR="00E03EA3" w:rsidRDefault="00E03EA3" w:rsidP="00E03EA3">
      <w:pPr>
        <w:spacing w:after="0" w:line="240" w:lineRule="auto"/>
      </w:pPr>
      <w:r>
        <w:separator/>
      </w:r>
    </w:p>
  </w:endnote>
  <w:endnote w:type="continuationSeparator" w:id="0">
    <w:p w14:paraId="12EEFC20" w14:textId="77777777" w:rsidR="00E03EA3" w:rsidRDefault="00E03EA3" w:rsidP="00E0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7B37B" w14:textId="77777777" w:rsidR="00E03EA3" w:rsidRDefault="00E03EA3" w:rsidP="00E03EA3">
      <w:pPr>
        <w:spacing w:after="0" w:line="240" w:lineRule="auto"/>
      </w:pPr>
      <w:r>
        <w:separator/>
      </w:r>
    </w:p>
  </w:footnote>
  <w:footnote w:type="continuationSeparator" w:id="0">
    <w:p w14:paraId="0CD07233" w14:textId="77777777" w:rsidR="00E03EA3" w:rsidRDefault="00E03EA3" w:rsidP="00E03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27C"/>
    <w:multiLevelType w:val="hybridMultilevel"/>
    <w:tmpl w:val="14683C08"/>
    <w:lvl w:ilvl="0" w:tplc="BD5E6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5C89"/>
    <w:multiLevelType w:val="hybridMultilevel"/>
    <w:tmpl w:val="C7163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4E5E"/>
    <w:multiLevelType w:val="hybridMultilevel"/>
    <w:tmpl w:val="883E5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3E56"/>
    <w:multiLevelType w:val="hybridMultilevel"/>
    <w:tmpl w:val="43E04D46"/>
    <w:lvl w:ilvl="0" w:tplc="1CBE1C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22C0F"/>
    <w:multiLevelType w:val="hybridMultilevel"/>
    <w:tmpl w:val="EC4CD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7252"/>
    <w:multiLevelType w:val="hybridMultilevel"/>
    <w:tmpl w:val="F81049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7540F"/>
    <w:multiLevelType w:val="hybridMultilevel"/>
    <w:tmpl w:val="87AA13A0"/>
    <w:lvl w:ilvl="0" w:tplc="F57066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32336"/>
    <w:multiLevelType w:val="hybridMultilevel"/>
    <w:tmpl w:val="CB4A6B3E"/>
    <w:lvl w:ilvl="0" w:tplc="811695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F3A05"/>
    <w:multiLevelType w:val="hybridMultilevel"/>
    <w:tmpl w:val="4D1CBF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49"/>
    <w:rsid w:val="000249B2"/>
    <w:rsid w:val="00056CFF"/>
    <w:rsid w:val="00060382"/>
    <w:rsid w:val="00084560"/>
    <w:rsid w:val="000930F2"/>
    <w:rsid w:val="000A7794"/>
    <w:rsid w:val="000B6C42"/>
    <w:rsid w:val="000E11AA"/>
    <w:rsid w:val="000E4FDE"/>
    <w:rsid w:val="000F63BB"/>
    <w:rsid w:val="00126DF4"/>
    <w:rsid w:val="00154BE2"/>
    <w:rsid w:val="00157328"/>
    <w:rsid w:val="0017321D"/>
    <w:rsid w:val="00185E53"/>
    <w:rsid w:val="00195E02"/>
    <w:rsid w:val="001A3587"/>
    <w:rsid w:val="001A5123"/>
    <w:rsid w:val="001B0D50"/>
    <w:rsid w:val="001C2528"/>
    <w:rsid w:val="001D2D68"/>
    <w:rsid w:val="001E6730"/>
    <w:rsid w:val="0020062A"/>
    <w:rsid w:val="002150F1"/>
    <w:rsid w:val="00222D22"/>
    <w:rsid w:val="002230C7"/>
    <w:rsid w:val="00232AB4"/>
    <w:rsid w:val="00234601"/>
    <w:rsid w:val="00243CD0"/>
    <w:rsid w:val="00253348"/>
    <w:rsid w:val="002610C1"/>
    <w:rsid w:val="00285C62"/>
    <w:rsid w:val="00290A11"/>
    <w:rsid w:val="00291C7C"/>
    <w:rsid w:val="002B7A26"/>
    <w:rsid w:val="002C08EB"/>
    <w:rsid w:val="002E0769"/>
    <w:rsid w:val="00341CB1"/>
    <w:rsid w:val="00344113"/>
    <w:rsid w:val="00345036"/>
    <w:rsid w:val="00356F08"/>
    <w:rsid w:val="003633C1"/>
    <w:rsid w:val="00376203"/>
    <w:rsid w:val="003A3124"/>
    <w:rsid w:val="003D7BDE"/>
    <w:rsid w:val="003E5B88"/>
    <w:rsid w:val="003F21DE"/>
    <w:rsid w:val="003F7155"/>
    <w:rsid w:val="00415873"/>
    <w:rsid w:val="00424602"/>
    <w:rsid w:val="00424EEF"/>
    <w:rsid w:val="00463961"/>
    <w:rsid w:val="00484D07"/>
    <w:rsid w:val="00496B1D"/>
    <w:rsid w:val="004B251A"/>
    <w:rsid w:val="004C1982"/>
    <w:rsid w:val="004D3517"/>
    <w:rsid w:val="004D4921"/>
    <w:rsid w:val="004F31DA"/>
    <w:rsid w:val="004F6018"/>
    <w:rsid w:val="00513D4B"/>
    <w:rsid w:val="00536ACC"/>
    <w:rsid w:val="00545B73"/>
    <w:rsid w:val="005501D7"/>
    <w:rsid w:val="005A2FA5"/>
    <w:rsid w:val="005A38B7"/>
    <w:rsid w:val="005A4F37"/>
    <w:rsid w:val="005A6E19"/>
    <w:rsid w:val="005B5D7B"/>
    <w:rsid w:val="005C0B09"/>
    <w:rsid w:val="005E5347"/>
    <w:rsid w:val="00603770"/>
    <w:rsid w:val="00605AFC"/>
    <w:rsid w:val="00612D07"/>
    <w:rsid w:val="006212D1"/>
    <w:rsid w:val="00625BD1"/>
    <w:rsid w:val="00634B29"/>
    <w:rsid w:val="00637074"/>
    <w:rsid w:val="0065303A"/>
    <w:rsid w:val="0067262C"/>
    <w:rsid w:val="006779CA"/>
    <w:rsid w:val="00683CB1"/>
    <w:rsid w:val="00687BE5"/>
    <w:rsid w:val="00690BE6"/>
    <w:rsid w:val="006A1835"/>
    <w:rsid w:val="006A451B"/>
    <w:rsid w:val="006A6517"/>
    <w:rsid w:val="006C0C17"/>
    <w:rsid w:val="006C410F"/>
    <w:rsid w:val="006E4F33"/>
    <w:rsid w:val="006E5744"/>
    <w:rsid w:val="006E7E04"/>
    <w:rsid w:val="00702C82"/>
    <w:rsid w:val="0073509C"/>
    <w:rsid w:val="00745621"/>
    <w:rsid w:val="00754A3B"/>
    <w:rsid w:val="00762BCC"/>
    <w:rsid w:val="0077044C"/>
    <w:rsid w:val="00770D98"/>
    <w:rsid w:val="00785D90"/>
    <w:rsid w:val="00793A59"/>
    <w:rsid w:val="007A20E3"/>
    <w:rsid w:val="007A59FA"/>
    <w:rsid w:val="007C7D49"/>
    <w:rsid w:val="007D4B5E"/>
    <w:rsid w:val="007E0F71"/>
    <w:rsid w:val="008073C2"/>
    <w:rsid w:val="00834194"/>
    <w:rsid w:val="00845183"/>
    <w:rsid w:val="008659D4"/>
    <w:rsid w:val="00881617"/>
    <w:rsid w:val="008B484D"/>
    <w:rsid w:val="008D687B"/>
    <w:rsid w:val="00904176"/>
    <w:rsid w:val="00917053"/>
    <w:rsid w:val="00942811"/>
    <w:rsid w:val="00983934"/>
    <w:rsid w:val="009840C5"/>
    <w:rsid w:val="009843DF"/>
    <w:rsid w:val="0099397E"/>
    <w:rsid w:val="00993AE3"/>
    <w:rsid w:val="009970F6"/>
    <w:rsid w:val="009A5695"/>
    <w:rsid w:val="009C021E"/>
    <w:rsid w:val="009C72FB"/>
    <w:rsid w:val="009F0D43"/>
    <w:rsid w:val="009F674F"/>
    <w:rsid w:val="00A2571B"/>
    <w:rsid w:val="00A26CE5"/>
    <w:rsid w:val="00A37306"/>
    <w:rsid w:val="00A531F0"/>
    <w:rsid w:val="00A54847"/>
    <w:rsid w:val="00A6375A"/>
    <w:rsid w:val="00A63A3C"/>
    <w:rsid w:val="00A65FE5"/>
    <w:rsid w:val="00A87077"/>
    <w:rsid w:val="00A94FFA"/>
    <w:rsid w:val="00AB40CD"/>
    <w:rsid w:val="00AC63C9"/>
    <w:rsid w:val="00AE37CA"/>
    <w:rsid w:val="00B0188B"/>
    <w:rsid w:val="00B038C3"/>
    <w:rsid w:val="00B319F4"/>
    <w:rsid w:val="00B46133"/>
    <w:rsid w:val="00B53CE8"/>
    <w:rsid w:val="00B54DB2"/>
    <w:rsid w:val="00B854E0"/>
    <w:rsid w:val="00B956DA"/>
    <w:rsid w:val="00BA3D5D"/>
    <w:rsid w:val="00BC6F4B"/>
    <w:rsid w:val="00BC7CB4"/>
    <w:rsid w:val="00BE0F51"/>
    <w:rsid w:val="00BF44C2"/>
    <w:rsid w:val="00C57107"/>
    <w:rsid w:val="00C71049"/>
    <w:rsid w:val="00C719F5"/>
    <w:rsid w:val="00C71FA5"/>
    <w:rsid w:val="00C863F0"/>
    <w:rsid w:val="00C86C99"/>
    <w:rsid w:val="00C96898"/>
    <w:rsid w:val="00CA09DD"/>
    <w:rsid w:val="00CA1F79"/>
    <w:rsid w:val="00CA393A"/>
    <w:rsid w:val="00CA79F3"/>
    <w:rsid w:val="00CC181D"/>
    <w:rsid w:val="00CC482E"/>
    <w:rsid w:val="00CC743C"/>
    <w:rsid w:val="00CD3DEA"/>
    <w:rsid w:val="00CD4449"/>
    <w:rsid w:val="00CF213A"/>
    <w:rsid w:val="00CF6F6A"/>
    <w:rsid w:val="00D33840"/>
    <w:rsid w:val="00D45A6D"/>
    <w:rsid w:val="00D56D36"/>
    <w:rsid w:val="00D6456F"/>
    <w:rsid w:val="00D70980"/>
    <w:rsid w:val="00D86200"/>
    <w:rsid w:val="00D911D2"/>
    <w:rsid w:val="00DA5553"/>
    <w:rsid w:val="00DB5725"/>
    <w:rsid w:val="00DD23A7"/>
    <w:rsid w:val="00DE187F"/>
    <w:rsid w:val="00E03EA3"/>
    <w:rsid w:val="00E2601A"/>
    <w:rsid w:val="00E32B22"/>
    <w:rsid w:val="00E3447B"/>
    <w:rsid w:val="00E428A4"/>
    <w:rsid w:val="00E538F5"/>
    <w:rsid w:val="00E5413A"/>
    <w:rsid w:val="00E60751"/>
    <w:rsid w:val="00E6489A"/>
    <w:rsid w:val="00E804CD"/>
    <w:rsid w:val="00E86117"/>
    <w:rsid w:val="00E92178"/>
    <w:rsid w:val="00EE42AB"/>
    <w:rsid w:val="00EF103E"/>
    <w:rsid w:val="00F1406E"/>
    <w:rsid w:val="00F20A21"/>
    <w:rsid w:val="00F23A18"/>
    <w:rsid w:val="00F34B77"/>
    <w:rsid w:val="00F47347"/>
    <w:rsid w:val="00F62CB4"/>
    <w:rsid w:val="00F95B94"/>
    <w:rsid w:val="00F9769D"/>
    <w:rsid w:val="00FA3942"/>
    <w:rsid w:val="00FC03C5"/>
    <w:rsid w:val="00FC4B9C"/>
    <w:rsid w:val="00FD2DE5"/>
    <w:rsid w:val="00FD4B2C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86DA"/>
  <w15:chartTrackingRefBased/>
  <w15:docId w15:val="{D271A741-C84B-4CE0-AE66-459976BF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0F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A38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38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38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38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38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8B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687BE5"/>
    <w:rPr>
      <w:color w:val="0000FF"/>
      <w:u w:val="single"/>
    </w:rPr>
  </w:style>
  <w:style w:type="paragraph" w:styleId="Rvision">
    <w:name w:val="Revision"/>
    <w:hidden/>
    <w:uiPriority w:val="99"/>
    <w:semiHidden/>
    <w:rsid w:val="0077044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0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3EA3"/>
  </w:style>
  <w:style w:type="paragraph" w:styleId="Pieddepage">
    <w:name w:val="footer"/>
    <w:basedOn w:val="Normal"/>
    <w:link w:val="PieddepageCar"/>
    <w:uiPriority w:val="99"/>
    <w:unhideWhenUsed/>
    <w:rsid w:val="00E0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EA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33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33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3348"/>
    <w:rPr>
      <w:vertAlign w:val="superscript"/>
    </w:rPr>
  </w:style>
  <w:style w:type="character" w:styleId="lev">
    <w:name w:val="Strong"/>
    <w:basedOn w:val="Policepardfaut"/>
    <w:uiPriority w:val="22"/>
    <w:qFormat/>
    <w:rsid w:val="000B6C42"/>
    <w:rPr>
      <w:b/>
      <w:bCs/>
    </w:rPr>
  </w:style>
  <w:style w:type="table" w:styleId="Grilledutableau">
    <w:name w:val="Table Grid"/>
    <w:basedOn w:val="TableauNormal"/>
    <w:uiPriority w:val="39"/>
    <w:rsid w:val="0020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ph.communication@pm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ndicap.gouv.fr/tout-savoir-sur-laccessibilite-des-elections-pour-les-personnes-en-situation-de-handica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DAC9-5563-486D-AFF5-466B7E74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Dahais, Marine (PAR-GOL)</dc:creator>
  <cp:keywords/>
  <dc:description/>
  <cp:lastModifiedBy>LEVESQUE Jonathan</cp:lastModifiedBy>
  <cp:revision>11</cp:revision>
  <cp:lastPrinted>2022-04-08T12:24:00Z</cp:lastPrinted>
  <dcterms:created xsi:type="dcterms:W3CDTF">2022-04-07T16:53:00Z</dcterms:created>
  <dcterms:modified xsi:type="dcterms:W3CDTF">2022-04-08T12:35:00Z</dcterms:modified>
</cp:coreProperties>
</file>