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923"/>
      </w:tblGrid>
      <w:tr w:rsidR="00743737" w:rsidRPr="00C21700" w14:paraId="12878618" w14:textId="77777777" w:rsidTr="00743737">
        <w:tc>
          <w:tcPr>
            <w:tcW w:w="0" w:type="auto"/>
            <w:vAlign w:val="center"/>
            <w:hideMark/>
          </w:tcPr>
          <w:tbl>
            <w:tblPr>
              <w:tblW w:w="0" w:type="auto"/>
              <w:tblCellMar>
                <w:left w:w="0" w:type="dxa"/>
                <w:right w:w="0" w:type="dxa"/>
              </w:tblCellMar>
              <w:tblLook w:val="04A0" w:firstRow="1" w:lastRow="0" w:firstColumn="1" w:lastColumn="0" w:noHBand="0" w:noVBand="1"/>
            </w:tblPr>
            <w:tblGrid>
              <w:gridCol w:w="146"/>
              <w:gridCol w:w="9352"/>
            </w:tblGrid>
            <w:tr w:rsidR="00743737" w:rsidRPr="00C21700" w14:paraId="38A1298F" w14:textId="77777777" w:rsidTr="00795000">
              <w:tc>
                <w:tcPr>
                  <w:tcW w:w="146" w:type="dxa"/>
                  <w:shd w:val="clear" w:color="auto" w:fill="FFFFFF"/>
                  <w:vAlign w:val="center"/>
                  <w:hideMark/>
                </w:tcPr>
                <w:p w14:paraId="1499B2DF" w14:textId="77777777" w:rsidR="00743737" w:rsidRPr="00C21700" w:rsidRDefault="00743737" w:rsidP="00743737">
                  <w:pPr>
                    <w:rPr>
                      <w:rFonts w:ascii="Marianne" w:eastAsia="Times New Roman" w:hAnsi="Marianne" w:cs="Arial"/>
                      <w:sz w:val="22"/>
                      <w:szCs w:val="22"/>
                    </w:rPr>
                  </w:pPr>
                </w:p>
              </w:tc>
              <w:tc>
                <w:tcPr>
                  <w:tcW w:w="9352" w:type="dxa"/>
                  <w:vAlign w:val="center"/>
                  <w:hideMark/>
                </w:tcPr>
                <w:p w14:paraId="225A8C89" w14:textId="00ABC1DF" w:rsidR="00196AF3" w:rsidRPr="00C21700" w:rsidRDefault="000D6FAC" w:rsidP="000D6FAC">
                  <w:pPr>
                    <w:ind w:left="-149" w:firstLine="149"/>
                    <w:rPr>
                      <w:rFonts w:ascii="Marianne" w:hAnsi="Marianne" w:cs="Arial"/>
                      <w:sz w:val="22"/>
                      <w:szCs w:val="22"/>
                    </w:rPr>
                  </w:pPr>
                  <w:r w:rsidRPr="00C21700">
                    <w:rPr>
                      <w:rFonts w:ascii="Marianne" w:hAnsi="Marianne" w:cs="Arial"/>
                      <w:b/>
                      <w:noProof/>
                      <w:sz w:val="22"/>
                      <w:szCs w:val="22"/>
                    </w:rPr>
                    <w:drawing>
                      <wp:anchor distT="0" distB="0" distL="114300" distR="114300" simplePos="0" relativeHeight="251661312" behindDoc="0" locked="0" layoutInCell="1" allowOverlap="1" wp14:anchorId="1836FD76" wp14:editId="23218CC6">
                        <wp:simplePos x="0" y="0"/>
                        <wp:positionH relativeFrom="column">
                          <wp:posOffset>-238760</wp:posOffset>
                        </wp:positionH>
                        <wp:positionV relativeFrom="paragraph">
                          <wp:posOffset>-609600</wp:posOffset>
                        </wp:positionV>
                        <wp:extent cx="2447925" cy="122872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_Personnes_Handicapees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7925" cy="1228725"/>
                                </a:xfrm>
                                <a:prstGeom prst="rect">
                                  <a:avLst/>
                                </a:prstGeom>
                              </pic:spPr>
                            </pic:pic>
                          </a:graphicData>
                        </a:graphic>
                        <wp14:sizeRelH relativeFrom="page">
                          <wp14:pctWidth>0</wp14:pctWidth>
                        </wp14:sizeRelH>
                        <wp14:sizeRelV relativeFrom="page">
                          <wp14:pctHeight>0</wp14:pctHeight>
                        </wp14:sizeRelV>
                      </wp:anchor>
                    </w:drawing>
                  </w:r>
                </w:p>
                <w:p w14:paraId="64BCFACF" w14:textId="40EEB77B" w:rsidR="00BE457B" w:rsidRPr="00C21700" w:rsidRDefault="00BE457B">
                  <w:pPr>
                    <w:rPr>
                      <w:rFonts w:ascii="Marianne" w:hAnsi="Marianne" w:cs="Arial"/>
                      <w:sz w:val="22"/>
                      <w:szCs w:val="22"/>
                    </w:rPr>
                  </w:pPr>
                </w:p>
                <w:p w14:paraId="1407723D" w14:textId="5819189D" w:rsidR="00BE457B" w:rsidRPr="00C21700" w:rsidRDefault="00BE457B">
                  <w:pPr>
                    <w:rPr>
                      <w:rFonts w:ascii="Marianne" w:hAnsi="Marianne" w:cs="Arial"/>
                      <w:sz w:val="22"/>
                      <w:szCs w:val="22"/>
                    </w:rPr>
                  </w:pPr>
                </w:p>
                <w:p w14:paraId="2F9D2CAD" w14:textId="3BC7AB03" w:rsidR="00196AF3" w:rsidRPr="00C21700" w:rsidRDefault="00196AF3">
                  <w:pPr>
                    <w:rPr>
                      <w:rFonts w:ascii="Marianne" w:hAnsi="Marianne" w:cs="Arial"/>
                      <w:sz w:val="22"/>
                      <w:szCs w:val="22"/>
                    </w:rPr>
                  </w:pPr>
                </w:p>
                <w:p w14:paraId="75F85479" w14:textId="5A362797" w:rsidR="00196AF3" w:rsidRPr="00C21700" w:rsidRDefault="006F34BE" w:rsidP="008029ED">
                  <w:pPr>
                    <w:jc w:val="right"/>
                    <w:rPr>
                      <w:rFonts w:ascii="Marianne" w:hAnsi="Marianne" w:cs="Arial"/>
                      <w:sz w:val="22"/>
                      <w:szCs w:val="22"/>
                    </w:rPr>
                  </w:pPr>
                  <w:r w:rsidRPr="00C21700">
                    <w:rPr>
                      <w:rFonts w:ascii="Marianne" w:hAnsi="Marianne" w:cs="Arial"/>
                      <w:sz w:val="22"/>
                      <w:szCs w:val="22"/>
                    </w:rPr>
                    <w:t xml:space="preserve">Paris, le </w:t>
                  </w:r>
                  <w:r w:rsidR="00965260" w:rsidRPr="00C21700">
                    <w:rPr>
                      <w:rFonts w:ascii="Marianne" w:hAnsi="Marianne" w:cs="Arial"/>
                      <w:sz w:val="22"/>
                      <w:szCs w:val="22"/>
                    </w:rPr>
                    <w:t xml:space="preserve">13 avril </w:t>
                  </w:r>
                  <w:r w:rsidR="00E72CA1" w:rsidRPr="00C21700">
                    <w:rPr>
                      <w:rFonts w:ascii="Marianne" w:hAnsi="Marianne" w:cs="Arial"/>
                      <w:sz w:val="22"/>
                      <w:szCs w:val="22"/>
                    </w:rPr>
                    <w:t>2021</w:t>
                  </w:r>
                </w:p>
                <w:p w14:paraId="0D2813B0" w14:textId="77777777" w:rsidR="00BE457B" w:rsidRPr="00C21700" w:rsidRDefault="00BE457B">
                  <w:pPr>
                    <w:rPr>
                      <w:rFonts w:ascii="Marianne" w:hAnsi="Marianne" w:cs="Arial"/>
                      <w:sz w:val="22"/>
                      <w:szCs w:val="22"/>
                    </w:rPr>
                  </w:pPr>
                </w:p>
                <w:p w14:paraId="0133BB32" w14:textId="6D17AF64" w:rsidR="00743737" w:rsidRPr="00C21700" w:rsidRDefault="00743737" w:rsidP="00C21700">
                  <w:pPr>
                    <w:rPr>
                      <w:rFonts w:ascii="Marianne" w:eastAsia="Times New Roman" w:hAnsi="Marianne" w:cs="Arial"/>
                      <w:sz w:val="22"/>
                      <w:szCs w:val="22"/>
                    </w:rPr>
                  </w:pPr>
                </w:p>
              </w:tc>
            </w:tr>
          </w:tbl>
          <w:p w14:paraId="19C415DD" w14:textId="77777777" w:rsidR="00743737" w:rsidRPr="00C21700" w:rsidRDefault="00743737" w:rsidP="00743737">
            <w:pPr>
              <w:rPr>
                <w:rFonts w:ascii="Marianne" w:eastAsia="Times New Roman" w:hAnsi="Marianne" w:cs="Arial"/>
                <w:sz w:val="22"/>
                <w:szCs w:val="22"/>
              </w:rPr>
            </w:pPr>
          </w:p>
        </w:tc>
      </w:tr>
    </w:tbl>
    <w:tbl>
      <w:tblPr>
        <w:tblpPr w:leftFromText="60" w:rightFromText="60" w:vertAnchor="text"/>
        <w:tblW w:w="4857" w:type="pct"/>
        <w:tblCellMar>
          <w:left w:w="0" w:type="dxa"/>
          <w:right w:w="0" w:type="dxa"/>
        </w:tblCellMar>
        <w:tblLook w:val="04A0" w:firstRow="1" w:lastRow="0" w:firstColumn="1" w:lastColumn="0" w:noHBand="0" w:noVBand="1"/>
      </w:tblPr>
      <w:tblGrid>
        <w:gridCol w:w="9639"/>
      </w:tblGrid>
      <w:tr w:rsidR="008029ED" w:rsidRPr="00C21700" w14:paraId="21F8D7DA" w14:textId="77777777" w:rsidTr="00795000">
        <w:tc>
          <w:tcPr>
            <w:tcW w:w="5000" w:type="pct"/>
            <w:vAlign w:val="center"/>
            <w:hideMark/>
          </w:tcPr>
          <w:tbl>
            <w:tblPr>
              <w:tblpPr w:leftFromText="141" w:rightFromText="141" w:vertAnchor="text" w:horzAnchor="margin" w:tblpY="-1777"/>
              <w:tblOverlap w:val="never"/>
              <w:tblW w:w="5000" w:type="pct"/>
              <w:shd w:val="clear" w:color="auto" w:fill="FFFFFF"/>
              <w:tblCellMar>
                <w:left w:w="0" w:type="dxa"/>
                <w:right w:w="0" w:type="dxa"/>
              </w:tblCellMar>
              <w:tblLook w:val="04A0" w:firstRow="1" w:lastRow="0" w:firstColumn="1" w:lastColumn="0" w:noHBand="0" w:noVBand="1"/>
            </w:tblPr>
            <w:tblGrid>
              <w:gridCol w:w="9639"/>
            </w:tblGrid>
            <w:tr w:rsidR="008029ED" w:rsidRPr="00C21700" w14:paraId="74F84431" w14:textId="77777777" w:rsidTr="008029ED">
              <w:tc>
                <w:tcPr>
                  <w:tcW w:w="0" w:type="auto"/>
                  <w:shd w:val="clear" w:color="auto" w:fill="FFFFFF"/>
                  <w:vAlign w:val="center"/>
                  <w:hideMark/>
                </w:tcPr>
                <w:p w14:paraId="7B64988C" w14:textId="1B73CA75" w:rsidR="008029ED" w:rsidRPr="00C21700" w:rsidRDefault="008029ED" w:rsidP="008029ED">
                  <w:pPr>
                    <w:spacing w:line="276" w:lineRule="auto"/>
                    <w:jc w:val="center"/>
                    <w:rPr>
                      <w:rStyle w:val="lev"/>
                      <w:rFonts w:ascii="Marianne" w:hAnsi="Marianne" w:cs="Arial"/>
                      <w:b w:val="0"/>
                      <w:color w:val="000000"/>
                      <w:sz w:val="22"/>
                      <w:szCs w:val="22"/>
                    </w:rPr>
                  </w:pPr>
                  <w:r w:rsidRPr="00C21700">
                    <w:rPr>
                      <w:rStyle w:val="lev"/>
                      <w:rFonts w:ascii="Marianne" w:hAnsi="Marianne" w:cs="Arial"/>
                      <w:b w:val="0"/>
                      <w:color w:val="000000"/>
                      <w:sz w:val="22"/>
                      <w:szCs w:val="22"/>
                    </w:rPr>
                    <w:t>COMMUNIQUÉ DE PRESSE</w:t>
                  </w:r>
                </w:p>
                <w:p w14:paraId="5D3D1FBB" w14:textId="639EA47C" w:rsidR="008029ED" w:rsidRPr="00C21700" w:rsidRDefault="008029ED" w:rsidP="00C21700">
                  <w:pPr>
                    <w:spacing w:line="276" w:lineRule="auto"/>
                    <w:rPr>
                      <w:rFonts w:ascii="Marianne" w:hAnsi="Marianne" w:cs="Arial"/>
                      <w:b/>
                      <w:sz w:val="22"/>
                      <w:szCs w:val="22"/>
                    </w:rPr>
                  </w:pPr>
                </w:p>
                <w:p w14:paraId="53E91257" w14:textId="3D5B9009" w:rsidR="00965260" w:rsidRPr="00C21700" w:rsidRDefault="00E72CA1" w:rsidP="00965260">
                  <w:pPr>
                    <w:spacing w:line="276" w:lineRule="auto"/>
                    <w:jc w:val="center"/>
                    <w:rPr>
                      <w:rFonts w:ascii="Marianne" w:hAnsi="Marianne" w:cs="Arial"/>
                      <w:b/>
                      <w:sz w:val="22"/>
                      <w:szCs w:val="22"/>
                    </w:rPr>
                  </w:pPr>
                  <w:r w:rsidRPr="00C21700">
                    <w:rPr>
                      <w:rFonts w:ascii="Marianne" w:hAnsi="Marianne" w:cs="Arial"/>
                      <w:b/>
                      <w:sz w:val="22"/>
                      <w:szCs w:val="22"/>
                    </w:rPr>
                    <w:t>L</w:t>
                  </w:r>
                  <w:r w:rsidR="00965260" w:rsidRPr="00C21700">
                    <w:rPr>
                      <w:rFonts w:ascii="Marianne" w:hAnsi="Marianne" w:cs="Arial"/>
                      <w:b/>
                      <w:sz w:val="22"/>
                      <w:szCs w:val="22"/>
                    </w:rPr>
                    <w:t xml:space="preserve">e Gouvernement </w:t>
                  </w:r>
                  <w:r w:rsidR="005949B6" w:rsidRPr="00C21700">
                    <w:rPr>
                      <w:rFonts w:ascii="Marianne" w:hAnsi="Marianne" w:cs="Arial"/>
                      <w:b/>
                      <w:sz w:val="22"/>
                      <w:szCs w:val="22"/>
                    </w:rPr>
                    <w:t>met en place</w:t>
                  </w:r>
                  <w:r w:rsidR="00965260" w:rsidRPr="00C21700">
                    <w:rPr>
                      <w:rFonts w:ascii="Marianne" w:hAnsi="Marianne" w:cs="Arial"/>
                      <w:b/>
                      <w:sz w:val="22"/>
                      <w:szCs w:val="22"/>
                    </w:rPr>
                    <w:t xml:space="preserve"> la revalorisation des grilles des personnels soignants des établissements accueillant des personnes en situation de handicap</w:t>
                  </w:r>
                </w:p>
                <w:tbl>
                  <w:tblPr>
                    <w:tblW w:w="5000" w:type="pct"/>
                    <w:jc w:val="center"/>
                    <w:tblCellMar>
                      <w:left w:w="0" w:type="dxa"/>
                      <w:right w:w="0" w:type="dxa"/>
                    </w:tblCellMar>
                    <w:tblLook w:val="04A0" w:firstRow="1" w:lastRow="0" w:firstColumn="1" w:lastColumn="0" w:noHBand="0" w:noVBand="1"/>
                  </w:tblPr>
                  <w:tblGrid>
                    <w:gridCol w:w="9639"/>
                  </w:tblGrid>
                  <w:tr w:rsidR="008029ED" w:rsidRPr="00C21700" w14:paraId="69D1507D" w14:textId="77777777" w:rsidTr="008441D6">
                    <w:trPr>
                      <w:jc w:val="center"/>
                    </w:trPr>
                    <w:tc>
                      <w:tcPr>
                        <w:tcW w:w="5000" w:type="pct"/>
                        <w:hideMark/>
                      </w:tcPr>
                      <w:p w14:paraId="7F909C83" w14:textId="77777777" w:rsidR="008029ED" w:rsidRPr="00C21700" w:rsidRDefault="008029ED" w:rsidP="00C660D9">
                        <w:pPr>
                          <w:framePr w:hSpace="60" w:wrap="around" w:vAnchor="text" w:hAnchor="text"/>
                          <w:spacing w:line="276" w:lineRule="auto"/>
                          <w:rPr>
                            <w:rFonts w:ascii="Marianne" w:eastAsia="Times New Roman" w:hAnsi="Marianne" w:cs="Arial"/>
                            <w:sz w:val="22"/>
                            <w:szCs w:val="22"/>
                          </w:rPr>
                        </w:pPr>
                      </w:p>
                    </w:tc>
                  </w:tr>
                </w:tbl>
                <w:p w14:paraId="1E09B1D7" w14:textId="77777777" w:rsidR="008029ED" w:rsidRPr="00C21700" w:rsidRDefault="008029ED" w:rsidP="008029ED">
                  <w:pPr>
                    <w:spacing w:line="276" w:lineRule="auto"/>
                    <w:jc w:val="center"/>
                    <w:rPr>
                      <w:rFonts w:ascii="Marianne" w:eastAsia="Times New Roman" w:hAnsi="Marianne" w:cs="Arial"/>
                      <w:sz w:val="22"/>
                      <w:szCs w:val="22"/>
                    </w:rPr>
                  </w:pPr>
                </w:p>
              </w:tc>
            </w:tr>
          </w:tbl>
          <w:p w14:paraId="4FC9D87D" w14:textId="77777777" w:rsidR="008029ED" w:rsidRPr="00C21700" w:rsidRDefault="008029ED" w:rsidP="008029ED">
            <w:pPr>
              <w:spacing w:line="276" w:lineRule="auto"/>
              <w:rPr>
                <w:rFonts w:ascii="Marianne" w:hAnsi="Marianne" w:cs="Arial"/>
                <w:sz w:val="22"/>
                <w:szCs w:val="22"/>
              </w:rPr>
            </w:pPr>
          </w:p>
          <w:tbl>
            <w:tblPr>
              <w:tblpPr w:leftFromText="60" w:rightFromText="60" w:vertAnchor="text"/>
              <w:tblW w:w="4940" w:type="pct"/>
              <w:tblCellMar>
                <w:left w:w="0" w:type="dxa"/>
                <w:right w:w="0" w:type="dxa"/>
              </w:tblCellMar>
              <w:tblLook w:val="04A0" w:firstRow="1" w:lastRow="0" w:firstColumn="1" w:lastColumn="0" w:noHBand="0" w:noVBand="1"/>
            </w:tblPr>
            <w:tblGrid>
              <w:gridCol w:w="9523"/>
            </w:tblGrid>
            <w:tr w:rsidR="008029ED" w:rsidRPr="00C21700" w14:paraId="2AD50BDB" w14:textId="77777777" w:rsidTr="00E86F04">
              <w:tc>
                <w:tcPr>
                  <w:tcW w:w="5000" w:type="pct"/>
                  <w:vAlign w:val="center"/>
                  <w:hideMark/>
                </w:tcPr>
                <w:p w14:paraId="2DEEABC8" w14:textId="16BF4709" w:rsidR="00965260" w:rsidRPr="00C21700" w:rsidRDefault="00965260" w:rsidP="00965260">
                  <w:pPr>
                    <w:spacing w:before="120" w:after="120" w:line="276" w:lineRule="auto"/>
                    <w:jc w:val="both"/>
                    <w:rPr>
                      <w:rFonts w:ascii="Marianne" w:hAnsi="Marianne" w:cs="Arial"/>
                      <w:sz w:val="22"/>
                      <w:szCs w:val="22"/>
                    </w:rPr>
                  </w:pPr>
                  <w:r w:rsidRPr="00C21700">
                    <w:rPr>
                      <w:rFonts w:ascii="Marianne" w:hAnsi="Marianne" w:cs="Arial"/>
                      <w:sz w:val="22"/>
                      <w:szCs w:val="22"/>
                    </w:rPr>
                    <w:t>Les revalorisations de</w:t>
                  </w:r>
                  <w:r w:rsidR="00BB149D">
                    <w:rPr>
                      <w:rFonts w:ascii="Marianne" w:hAnsi="Marianne" w:cs="Arial"/>
                      <w:sz w:val="22"/>
                      <w:szCs w:val="22"/>
                    </w:rPr>
                    <w:t>s</w:t>
                  </w:r>
                  <w:r w:rsidRPr="00C21700">
                    <w:rPr>
                      <w:rFonts w:ascii="Marianne" w:hAnsi="Marianne" w:cs="Arial"/>
                      <w:sz w:val="22"/>
                      <w:szCs w:val="22"/>
                    </w:rPr>
                    <w:t xml:space="preserve"> grille</w:t>
                  </w:r>
                  <w:r w:rsidR="00BB149D">
                    <w:rPr>
                      <w:rFonts w:ascii="Marianne" w:hAnsi="Marianne" w:cs="Arial"/>
                      <w:sz w:val="22"/>
                      <w:szCs w:val="22"/>
                    </w:rPr>
                    <w:t>s</w:t>
                  </w:r>
                  <w:bookmarkStart w:id="0" w:name="_GoBack"/>
                  <w:bookmarkEnd w:id="0"/>
                  <w:r w:rsidRPr="00C21700">
                    <w:rPr>
                      <w:rFonts w:ascii="Marianne" w:hAnsi="Marianne" w:cs="Arial"/>
                      <w:sz w:val="22"/>
                      <w:szCs w:val="22"/>
                    </w:rPr>
                    <w:t xml:space="preserve"> mises en œuvre en application des accords de Ségur concerneront l’ensemble des personnels soignants (aides-soignants, infirmiers, infirmiers spécialisés, cadres de santé) ainsi que les professionnels </w:t>
                  </w:r>
                  <w:r w:rsidR="00F13B6D" w:rsidRPr="00C21700">
                    <w:rPr>
                      <w:rFonts w:ascii="Marianne" w:hAnsi="Marianne" w:cs="Arial"/>
                      <w:sz w:val="22"/>
                      <w:szCs w:val="22"/>
                    </w:rPr>
                    <w:t>médicotechniques</w:t>
                  </w:r>
                  <w:r w:rsidRPr="00C21700">
                    <w:rPr>
                      <w:rFonts w:ascii="Marianne" w:hAnsi="Marianne" w:cs="Arial"/>
                      <w:sz w:val="22"/>
                      <w:szCs w:val="22"/>
                    </w:rPr>
                    <w:t xml:space="preserve"> et de la rééducation (kinésithérapeutes, manipulateurs radio, ergothérapeutes, orthoptistes, orthophonistes, psychomotriciens ou encore pédicure-podologues). </w:t>
                  </w:r>
                </w:p>
                <w:p w14:paraId="578D9040" w14:textId="482A10BA" w:rsidR="005949B6" w:rsidRPr="00C21700" w:rsidRDefault="00965260" w:rsidP="00965260">
                  <w:pPr>
                    <w:spacing w:before="120" w:after="120" w:line="276" w:lineRule="auto"/>
                    <w:jc w:val="both"/>
                    <w:rPr>
                      <w:rFonts w:ascii="Marianne" w:hAnsi="Marianne" w:cs="Arial"/>
                      <w:sz w:val="22"/>
                      <w:szCs w:val="22"/>
                    </w:rPr>
                  </w:pPr>
                  <w:r w:rsidRPr="00C21700">
                    <w:rPr>
                      <w:rFonts w:ascii="Marianne" w:hAnsi="Marianne" w:cs="Arial"/>
                      <w:sz w:val="22"/>
                      <w:szCs w:val="22"/>
                    </w:rPr>
                    <w:t>Au total, ce sont plus de 500 000 professionnels</w:t>
                  </w:r>
                  <w:r w:rsidR="006708BC" w:rsidRPr="00C21700">
                    <w:rPr>
                      <w:rFonts w:ascii="Marianne" w:hAnsi="Marianne" w:cs="Arial"/>
                      <w:sz w:val="22"/>
                      <w:szCs w:val="22"/>
                    </w:rPr>
                    <w:t>, intervenant</w:t>
                  </w:r>
                  <w:r w:rsidRPr="00C21700">
                    <w:rPr>
                      <w:rFonts w:ascii="Marianne" w:hAnsi="Marianne" w:cs="Arial"/>
                      <w:sz w:val="22"/>
                      <w:szCs w:val="22"/>
                    </w:rPr>
                    <w:t xml:space="preserve"> tous les jours dans les établissements sanitaires, médico-sociaux ou encore dans les services sociaux de la fonction publique hospitalière qui sont concernés.</w:t>
                  </w:r>
                </w:p>
                <w:p w14:paraId="340F835D" w14:textId="65736C47" w:rsidR="00965260" w:rsidRPr="00C21700" w:rsidRDefault="005949B6" w:rsidP="005949B6">
                  <w:pPr>
                    <w:jc w:val="both"/>
                    <w:rPr>
                      <w:rFonts w:ascii="Marianne" w:hAnsi="Marianne" w:cs="Arial"/>
                      <w:b/>
                      <w:sz w:val="22"/>
                      <w:szCs w:val="22"/>
                    </w:rPr>
                  </w:pPr>
                  <w:r w:rsidRPr="00C21700">
                    <w:rPr>
                      <w:rFonts w:ascii="Marianne" w:hAnsi="Marianne" w:cs="Arial"/>
                      <w:b/>
                      <w:sz w:val="22"/>
                      <w:szCs w:val="22"/>
                    </w:rPr>
                    <w:t>Selon Sophie Cluzel, « cette revalorisation de la rémunération des soignants tient l’engagement des accords signés en juillet dernier. Elle témoigne de la reconnaissance de l’engagement constant des professionnels du secteur au service des personnes qu’ils accompagnent. »</w:t>
                  </w:r>
                  <w:r w:rsidR="00965260" w:rsidRPr="00C21700">
                    <w:rPr>
                      <w:rFonts w:ascii="Marianne" w:hAnsi="Marianne" w:cs="Arial"/>
                      <w:sz w:val="22"/>
                      <w:szCs w:val="22"/>
                    </w:rPr>
                    <w:t xml:space="preserve"> </w:t>
                  </w:r>
                </w:p>
                <w:p w14:paraId="2A41B791" w14:textId="05A43E26" w:rsidR="00965260" w:rsidRPr="00C21700" w:rsidRDefault="00965260" w:rsidP="001C3BA0">
                  <w:pPr>
                    <w:spacing w:before="120" w:after="120" w:line="276" w:lineRule="auto"/>
                    <w:jc w:val="both"/>
                    <w:rPr>
                      <w:rFonts w:ascii="Marianne" w:hAnsi="Marianne" w:cs="Arial"/>
                      <w:sz w:val="22"/>
                      <w:szCs w:val="22"/>
                    </w:rPr>
                  </w:pPr>
                  <w:r w:rsidRPr="00C21700">
                    <w:rPr>
                      <w:rFonts w:ascii="Marianne" w:hAnsi="Marianne" w:cs="Arial"/>
                      <w:sz w:val="22"/>
                      <w:szCs w:val="22"/>
                    </w:rPr>
                    <w:t>Dès 2022 ce sont l’ensemble de ces professionnels, salar</w:t>
                  </w:r>
                  <w:r w:rsidR="00C660D9" w:rsidRPr="00C21700">
                    <w:rPr>
                      <w:rFonts w:ascii="Marianne" w:hAnsi="Marianne" w:cs="Arial"/>
                      <w:sz w:val="22"/>
                      <w:szCs w:val="22"/>
                    </w:rPr>
                    <w:t xml:space="preserve">iés d’une structure publique de </w:t>
                  </w:r>
                  <w:r w:rsidRPr="00C21700">
                    <w:rPr>
                      <w:rFonts w:ascii="Marianne" w:hAnsi="Marianne" w:cs="Arial"/>
                      <w:sz w:val="22"/>
                      <w:szCs w:val="22"/>
                    </w:rPr>
                    <w:t>l’État ou rattachée à une collectivité locale ainsi que ceux du secteur privé, qui ver</w:t>
                  </w:r>
                  <w:r w:rsidR="001C3BA0" w:rsidRPr="00C21700">
                    <w:rPr>
                      <w:rFonts w:ascii="Marianne" w:hAnsi="Marianne" w:cs="Arial"/>
                      <w:sz w:val="22"/>
                      <w:szCs w:val="22"/>
                    </w:rPr>
                    <w:t xml:space="preserve">ront leur carrière revalorisée pour un </w:t>
                  </w:r>
                  <w:r w:rsidRPr="00C21700">
                    <w:rPr>
                      <w:rFonts w:ascii="Marianne" w:hAnsi="Marianne" w:cs="Arial"/>
                      <w:sz w:val="22"/>
                      <w:szCs w:val="22"/>
                    </w:rPr>
                    <w:t xml:space="preserve">investissement financier de </w:t>
                  </w:r>
                  <w:r w:rsidRPr="00C21700">
                    <w:rPr>
                      <w:rFonts w:ascii="Marianne" w:hAnsi="Marianne" w:cs="Arial"/>
                      <w:b/>
                      <w:sz w:val="22"/>
                      <w:szCs w:val="22"/>
                    </w:rPr>
                    <w:t>740 millions d’euros</w:t>
                  </w:r>
                  <w:r w:rsidRPr="00C21700">
                    <w:rPr>
                      <w:rFonts w:ascii="Marianne" w:hAnsi="Marianne" w:cs="Arial"/>
                      <w:sz w:val="22"/>
                      <w:szCs w:val="22"/>
                    </w:rPr>
                    <w:t xml:space="preserve"> en année pleine. </w:t>
                  </w:r>
                </w:p>
                <w:p w14:paraId="43066645" w14:textId="52A3A3F6" w:rsidR="00965260" w:rsidRPr="00C21700" w:rsidRDefault="001C3BA0" w:rsidP="001C3BA0">
                  <w:pPr>
                    <w:spacing w:before="120" w:after="120" w:line="276" w:lineRule="auto"/>
                    <w:jc w:val="both"/>
                    <w:rPr>
                      <w:rFonts w:ascii="Marianne" w:hAnsi="Marianne" w:cs="Arial"/>
                      <w:sz w:val="22"/>
                      <w:szCs w:val="22"/>
                    </w:rPr>
                  </w:pPr>
                  <w:r w:rsidRPr="00C21700">
                    <w:rPr>
                      <w:rFonts w:ascii="Marianne" w:hAnsi="Marianne" w:cs="Arial"/>
                      <w:sz w:val="22"/>
                      <w:szCs w:val="22"/>
                    </w:rPr>
                    <w:t>L’</w:t>
                  </w:r>
                  <w:r w:rsidR="00965260" w:rsidRPr="00C21700">
                    <w:rPr>
                      <w:rFonts w:ascii="Marianne" w:hAnsi="Marianne" w:cs="Arial"/>
                      <w:sz w:val="22"/>
                      <w:szCs w:val="22"/>
                    </w:rPr>
                    <w:t xml:space="preserve">entrée en vigueur </w:t>
                  </w:r>
                  <w:r w:rsidRPr="00C21700">
                    <w:rPr>
                      <w:rFonts w:ascii="Marianne" w:hAnsi="Marianne" w:cs="Arial"/>
                      <w:sz w:val="22"/>
                      <w:szCs w:val="22"/>
                    </w:rPr>
                    <w:t xml:space="preserve">est prévue dès le </w:t>
                  </w:r>
                  <w:r w:rsidR="00965260" w:rsidRPr="00C21700">
                    <w:rPr>
                      <w:rFonts w:ascii="Marianne" w:hAnsi="Marianne" w:cs="Arial"/>
                      <w:sz w:val="22"/>
                      <w:szCs w:val="22"/>
                    </w:rPr>
                    <w:t>1er octobre 2021 pour</w:t>
                  </w:r>
                  <w:r w:rsidRPr="00C21700">
                    <w:rPr>
                      <w:rFonts w:ascii="Marianne" w:hAnsi="Marianne" w:cs="Arial"/>
                      <w:sz w:val="22"/>
                      <w:szCs w:val="22"/>
                    </w:rPr>
                    <w:t xml:space="preserve"> </w:t>
                  </w:r>
                  <w:r w:rsidR="00EA6D2E" w:rsidRPr="00C21700">
                    <w:rPr>
                      <w:rFonts w:ascii="Marianne" w:hAnsi="Marianne" w:cs="Arial"/>
                      <w:sz w:val="22"/>
                      <w:szCs w:val="22"/>
                    </w:rPr>
                    <w:t xml:space="preserve">la </w:t>
                  </w:r>
                  <w:r w:rsidRPr="00C21700">
                    <w:rPr>
                      <w:rFonts w:ascii="Marianne" w:hAnsi="Marianne" w:cs="Arial"/>
                      <w:sz w:val="22"/>
                      <w:szCs w:val="22"/>
                    </w:rPr>
                    <w:t>Fonction publique hospitalière et interviendra en d</w:t>
                  </w:r>
                  <w:r w:rsidR="00965260" w:rsidRPr="00C21700">
                    <w:rPr>
                      <w:rFonts w:ascii="Marianne" w:hAnsi="Marianne" w:cs="Arial"/>
                      <w:sz w:val="22"/>
                      <w:szCs w:val="22"/>
                    </w:rPr>
                    <w:t xml:space="preserve">ébut d’année 2022 pour la Fonction publique territoriale, </w:t>
                  </w:r>
                  <w:r w:rsidRPr="00C21700">
                    <w:rPr>
                      <w:rFonts w:ascii="Marianne" w:hAnsi="Marianne" w:cs="Arial"/>
                      <w:sz w:val="22"/>
                      <w:szCs w:val="22"/>
                    </w:rPr>
                    <w:t xml:space="preserve">la </w:t>
                  </w:r>
                  <w:r w:rsidR="00965260" w:rsidRPr="00C21700">
                    <w:rPr>
                      <w:rFonts w:ascii="Marianne" w:hAnsi="Marianne" w:cs="Arial"/>
                      <w:sz w:val="22"/>
                      <w:szCs w:val="22"/>
                    </w:rPr>
                    <w:t xml:space="preserve">Fonction publique d’État et le secteur privé (lucratif et non-lucratif) </w:t>
                  </w:r>
                  <w:r w:rsidRPr="00C21700">
                    <w:rPr>
                      <w:rFonts w:ascii="Marianne" w:hAnsi="Marianne" w:cs="Arial"/>
                      <w:sz w:val="22"/>
                      <w:szCs w:val="22"/>
                    </w:rPr>
                    <w:t>après négociation des moda</w:t>
                  </w:r>
                  <w:r w:rsidR="00965260" w:rsidRPr="00C21700">
                    <w:rPr>
                      <w:rFonts w:ascii="Marianne" w:hAnsi="Marianne" w:cs="Arial"/>
                      <w:sz w:val="22"/>
                      <w:szCs w:val="22"/>
                    </w:rPr>
                    <w:t>lités de transpositions.</w:t>
                  </w:r>
                </w:p>
                <w:p w14:paraId="73404AE7" w14:textId="39555214" w:rsidR="001C3BA0" w:rsidRPr="00C21700" w:rsidRDefault="001C3BA0" w:rsidP="001C3BA0">
                  <w:pPr>
                    <w:spacing w:before="120" w:after="120" w:line="276" w:lineRule="auto"/>
                    <w:jc w:val="both"/>
                    <w:rPr>
                      <w:rFonts w:ascii="Marianne" w:hAnsi="Marianne"/>
                      <w:sz w:val="22"/>
                      <w:szCs w:val="22"/>
                    </w:rPr>
                  </w:pPr>
                  <w:r w:rsidRPr="00C21700">
                    <w:rPr>
                      <w:rFonts w:ascii="Marianne" w:hAnsi="Marianne" w:cs="Arial"/>
                      <w:sz w:val="22"/>
                      <w:szCs w:val="22"/>
                    </w:rPr>
                    <w:t xml:space="preserve">Les discussions avec le secteur des établissements privés non lucratifs et </w:t>
                  </w:r>
                  <w:r w:rsidR="00081CEF" w:rsidRPr="00C21700">
                    <w:rPr>
                      <w:rFonts w:ascii="Marianne" w:hAnsi="Marianne" w:cs="Arial"/>
                      <w:sz w:val="22"/>
                      <w:szCs w:val="22"/>
                    </w:rPr>
                    <w:t xml:space="preserve">lucratifs s’ouvriront dans les prochains jours </w:t>
                  </w:r>
                  <w:r w:rsidRPr="00C21700">
                    <w:rPr>
                      <w:rFonts w:ascii="Marianne" w:hAnsi="Marianne" w:cs="Arial"/>
                      <w:sz w:val="22"/>
                      <w:szCs w:val="22"/>
                    </w:rPr>
                    <w:t>pour examiner les modalités d’adaptation et de transposition de ces mesures de revalorisation des grilles dans ces secteurs</w:t>
                  </w:r>
                  <w:r w:rsidR="00081CEF" w:rsidRPr="00C21700">
                    <w:rPr>
                      <w:rFonts w:ascii="Marianne" w:hAnsi="Marianne" w:cs="Arial"/>
                      <w:sz w:val="22"/>
                      <w:szCs w:val="22"/>
                    </w:rPr>
                    <w:t>.</w:t>
                  </w:r>
                </w:p>
                <w:p w14:paraId="0FB1561C" w14:textId="38293233" w:rsidR="008029ED" w:rsidRPr="00C21700" w:rsidRDefault="008029ED" w:rsidP="008029ED">
                  <w:pPr>
                    <w:spacing w:before="120" w:after="120" w:line="276" w:lineRule="auto"/>
                    <w:rPr>
                      <w:rFonts w:ascii="Marianne" w:hAnsi="Marianne" w:cs="Arial"/>
                      <w:color w:val="000000"/>
                      <w:sz w:val="22"/>
                      <w:szCs w:val="22"/>
                    </w:rPr>
                  </w:pPr>
                </w:p>
                <w:p w14:paraId="3C08709D" w14:textId="5FDDD28C" w:rsidR="008029ED" w:rsidRPr="00C21700" w:rsidRDefault="008029ED" w:rsidP="008B00CC">
                  <w:pPr>
                    <w:rPr>
                      <w:rFonts w:ascii="Marianne" w:hAnsi="Marianne" w:cs="Arial"/>
                      <w:color w:val="000000"/>
                      <w:sz w:val="22"/>
                      <w:szCs w:val="22"/>
                    </w:rPr>
                  </w:pPr>
                  <w:r w:rsidRPr="00C21700">
                    <w:rPr>
                      <w:rFonts w:ascii="Marianne" w:hAnsi="Marianne" w:cs="Arial"/>
                      <w:sz w:val="22"/>
                      <w:szCs w:val="22"/>
                    </w:rPr>
                    <w:t>Contact presse Secrétariat d’Etat chargé des Personnes handicapées :</w:t>
                  </w:r>
                  <w:r w:rsidRPr="00C21700">
                    <w:rPr>
                      <w:rFonts w:ascii="Marianne" w:hAnsi="Marianne" w:cs="Arial"/>
                      <w:b/>
                      <w:sz w:val="22"/>
                      <w:szCs w:val="22"/>
                    </w:rPr>
                    <w:t xml:space="preserve"> </w:t>
                  </w:r>
                  <w:r w:rsidRPr="00C21700">
                    <w:rPr>
                      <w:rFonts w:ascii="Marianne" w:hAnsi="Marianne" w:cs="Arial"/>
                      <w:b/>
                      <w:sz w:val="22"/>
                      <w:szCs w:val="22"/>
                    </w:rPr>
                    <w:br/>
                  </w:r>
                  <w:hyperlink r:id="rId9" w:history="1">
                    <w:r w:rsidRPr="00C21700">
                      <w:rPr>
                        <w:rStyle w:val="Lienhypertexte"/>
                        <w:rFonts w:ascii="Marianne" w:hAnsi="Marianne" w:cs="Arial"/>
                        <w:b/>
                        <w:sz w:val="22"/>
                        <w:szCs w:val="22"/>
                      </w:rPr>
                      <w:t>seph.communication@pm.gouv.fr</w:t>
                    </w:r>
                  </w:hyperlink>
                </w:p>
              </w:tc>
            </w:tr>
            <w:tr w:rsidR="008029ED" w:rsidRPr="00C21700" w14:paraId="5F467613" w14:textId="77777777" w:rsidTr="00E86F04">
              <w:tc>
                <w:tcPr>
                  <w:tcW w:w="5000" w:type="pct"/>
                  <w:vAlign w:val="center"/>
                </w:tcPr>
                <w:p w14:paraId="4A349BB6" w14:textId="15B56CFC" w:rsidR="008029ED" w:rsidRPr="00C21700" w:rsidRDefault="001C3BA0" w:rsidP="008029ED">
                  <w:pPr>
                    <w:spacing w:before="100" w:beforeAutospacing="1" w:after="100" w:afterAutospacing="1"/>
                    <w:jc w:val="both"/>
                    <w:rPr>
                      <w:rFonts w:ascii="Marianne" w:hAnsi="Marianne" w:cs="Arial"/>
                      <w:bCs/>
                      <w:color w:val="000000"/>
                      <w:sz w:val="22"/>
                      <w:szCs w:val="22"/>
                    </w:rPr>
                  </w:pPr>
                  <w:r w:rsidRPr="00C21700">
                    <w:rPr>
                      <w:rFonts w:ascii="Marianne" w:hAnsi="Marianne" w:cs="Arial"/>
                      <w:bCs/>
                      <w:color w:val="000000"/>
                      <w:sz w:val="22"/>
                      <w:szCs w:val="22"/>
                    </w:rPr>
                    <w:t xml:space="preserve"> </w:t>
                  </w:r>
                </w:p>
              </w:tc>
            </w:tr>
          </w:tbl>
          <w:p w14:paraId="2D2C9264" w14:textId="77777777" w:rsidR="008029ED" w:rsidRPr="00C21700" w:rsidRDefault="008029ED" w:rsidP="00E86F04">
            <w:pPr>
              <w:rPr>
                <w:rFonts w:ascii="Marianne" w:eastAsia="Times New Roman" w:hAnsi="Marianne" w:cs="Arial"/>
                <w:sz w:val="22"/>
                <w:szCs w:val="22"/>
              </w:rPr>
            </w:pPr>
          </w:p>
        </w:tc>
      </w:tr>
    </w:tbl>
    <w:p w14:paraId="74301325" w14:textId="674F99C2" w:rsidR="00743737" w:rsidRPr="00C21700" w:rsidRDefault="00743737" w:rsidP="008029ED">
      <w:pPr>
        <w:rPr>
          <w:rFonts w:ascii="Marianne" w:hAnsi="Marianne" w:cs="Arial"/>
          <w:sz w:val="22"/>
          <w:szCs w:val="22"/>
        </w:rPr>
      </w:pPr>
    </w:p>
    <w:sectPr w:rsidR="00743737" w:rsidRPr="00C21700" w:rsidSect="00C21700">
      <w:footerReference w:type="default" r:id="rId10"/>
      <w:pgSz w:w="11900" w:h="16840"/>
      <w:pgMar w:top="1418" w:right="843"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D81D3" w14:textId="77777777" w:rsidR="00F33FDB" w:rsidRDefault="00F33FDB" w:rsidP="00F33FDB">
      <w:r>
        <w:separator/>
      </w:r>
    </w:p>
  </w:endnote>
  <w:endnote w:type="continuationSeparator" w:id="0">
    <w:p w14:paraId="6C80D257" w14:textId="77777777" w:rsidR="00F33FDB" w:rsidRDefault="00F33FDB" w:rsidP="00F3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0BC14" w14:textId="7600BCBF" w:rsidR="00F33FDB" w:rsidRDefault="00F33FDB">
    <w:pPr>
      <w:pStyle w:val="Pieddepage"/>
    </w:pPr>
    <w:r>
      <w:rPr>
        <w:noProof/>
      </w:rPr>
      <mc:AlternateContent>
        <mc:Choice Requires="wps">
          <w:drawing>
            <wp:anchor distT="0" distB="0" distL="114300" distR="114300" simplePos="0" relativeHeight="251659264" behindDoc="0" locked="0" layoutInCell="0" allowOverlap="1" wp14:anchorId="1555F110" wp14:editId="7D3EAE39">
              <wp:simplePos x="0" y="0"/>
              <wp:positionH relativeFrom="page">
                <wp:posOffset>0</wp:posOffset>
              </wp:positionH>
              <wp:positionV relativeFrom="page">
                <wp:posOffset>10229215</wp:posOffset>
              </wp:positionV>
              <wp:extent cx="7556500" cy="273050"/>
              <wp:effectExtent l="0" t="0" r="0" b="12700"/>
              <wp:wrapNone/>
              <wp:docPr id="1" name="MSIPCMab854f6c821123e569cd1e29" descr="{&quot;HashCode&quot;:9679731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80CFE9" w14:textId="278CC0BD" w:rsidR="00F33FDB" w:rsidRPr="00F33FDB" w:rsidRDefault="00F33FDB" w:rsidP="00F33FDB">
                          <w:pPr>
                            <w:rPr>
                              <w:rFonts w:ascii="Calibri" w:hAnsi="Calibri" w:cs="Calibri"/>
                              <w:color w:val="A8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55F110" id="_x0000_t202" coordsize="21600,21600" o:spt="202" path="m,l,21600r21600,l21600,xe">
              <v:stroke joinstyle="miter"/>
              <v:path gradientshapeok="t" o:connecttype="rect"/>
            </v:shapetype>
            <v:shape id="MSIPCMab854f6c821123e569cd1e29" o:spid="_x0000_s1026" type="#_x0000_t202" alt="{&quot;HashCode&quot;:967973103,&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xGwMAADYGAAAOAAAAZHJzL2Uyb0RvYy54bWysVEtv2zAMvg/YfxB02GmpH7GTOGtatCmy&#10;FUjbAOnQsyLLtTBbciWlcVb0v4+S5fSxHYZhF5siKT4+fuLxaVtX6JEpzaWY4egoxIgJKnMu7mf4&#10;++1iMMFIGyJyUknBZnjPND49+fjheNdMWSxLWeVMIQgi9HTXzHBpTDMNAk1LVhN9JBsmwFhIVRMD&#10;R3Uf5IrsIHpdBXEYjoKdVHmjJGVag/aiM+ITF78oGDU3RaGZQdUMQ23GfZX7buw3ODkm03tFmpJT&#10;Xwb5hypqwgUkPYS6IIagreK/hao5VVLLwhxRWQeyKDhlrgfoJgrfdbMuScNcLwCObg4w6f8Xll4/&#10;rhTiOcwOI0FqGNHV+nI1vyKbSZoUIzqJoygesnSU0TxicYZRzjQFBJ8+PWyl+fKN6HIuc9adptlo&#10;nI2HUTj87M2M35fGGydJfBR6wx3PTen1aZYe9KuKUFYz0d/pXBZSGqY62Qe4FDlrfYDut1K8Jmr/&#10;xmsNDABqer/I372VjdeEh8RLVvQ5QflsmbFr9BQAWjcAkWnPZWtR8noNSjvwtlC1/cMoEdiBY/sD&#10;r1hrEAXlOE1HaQgmCrZ4PAxTR7zg5XajtPnKZI2sMMMKqnZ0Io9LbSAjuPYuNpmQC15VjruVQLsZ&#10;Hg0h5BsL3KiE1UAREMNLHSefsihOwvM4GyxGk/EgWSTpIBuHk0EYZefZKEyy5GLxbONFybTkec7E&#10;kgvWv48o+Tv++ZfaMdu9kDelalnx3PZha7PdzSuFHgk81A1w4IcFGpp45RW8LceZobv+77oM7My6&#10;2VjJtJvWD2wj8z3MUUnAF0ahG7rgkHRJtFkRBY8elLDIzA18ikoCqNJLGJVS/fyT3voDFmDFaAdL&#10;ZIb1w5YohlF1KeCVxmkS2rkbdwJBOSGLkgQOm14rtvVcQt/wBKEsJ1pfU/VioWR9B4vuzKYDExEU&#10;kgJQvTg3cAIDLErKzs6cDAumIWYp1g21oXuUb9s7ohpPNAP4Xct+z5DpO751vvamkGdbIwvuyGiR&#10;7eAE7O0BlpObgl+kdvu9Pjuvl3V/8gsAAP//AwBQSwMEFAAGAAgAAAAhAE/YiIHeAAAACwEAAA8A&#10;AABkcnMvZG93bnJldi54bWxMj8FOwzAQRO9I/IO1lbhROyAqEuJUVaUiwQHR0A9w4yVJa68j22nD&#10;3+Oc4LhvRrMz5Xqyhl3Qh96RhGwpgCE1TvfUSjh87e6fgYWoSCvjCCX8YIB1dXtTqkK7K+3xUseW&#10;pRAKhZLQxTgUnIemQ6vC0g1ISft23qqYTt9y7dU1hVvDH4RYcat6Sh86NeC2w+Zcj1bCBscsvJnd&#10;6bU/1J/vp4/o9TaX8m4xbV6ARZzinxnm+qk6VKnT0Y2kAzMS0pCY6CoTObBZz3KR2HFmT4858Krk&#10;/zdUvwAAAP//AwBQSwECLQAUAAYACAAAACEAtoM4kv4AAADhAQAAEwAAAAAAAAAAAAAAAAAAAAAA&#10;W0NvbnRlbnRfVHlwZXNdLnhtbFBLAQItABQABgAIAAAAIQA4/SH/1gAAAJQBAAALAAAAAAAAAAAA&#10;AAAAAC8BAABfcmVscy8ucmVsc1BLAQItABQABgAIAAAAIQCEb+bxGwMAADYGAAAOAAAAAAAAAAAA&#10;AAAAAC4CAABkcnMvZTJvRG9jLnhtbFBLAQItABQABgAIAAAAIQBP2IiB3gAAAAsBAAAPAAAAAAAA&#10;AAAAAAAAAHUFAABkcnMvZG93bnJldi54bWxQSwUGAAAAAAQABADzAAAAgAYAAAAA&#10;" o:allowincell="f" filled="f" stroked="f" strokeweight=".5pt">
              <v:textbox inset="20pt,0,,0">
                <w:txbxContent>
                  <w:p w14:paraId="6780CFE9" w14:textId="278CC0BD" w:rsidR="00F33FDB" w:rsidRPr="00F33FDB" w:rsidRDefault="00F33FDB" w:rsidP="00F33FDB">
                    <w:pPr>
                      <w:rPr>
                        <w:rFonts w:ascii="Calibri" w:hAnsi="Calibri" w:cs="Calibri"/>
                        <w:color w:val="A8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5DB84" w14:textId="77777777" w:rsidR="00F33FDB" w:rsidRDefault="00F33FDB" w:rsidP="00F33FDB">
      <w:r>
        <w:separator/>
      </w:r>
    </w:p>
  </w:footnote>
  <w:footnote w:type="continuationSeparator" w:id="0">
    <w:p w14:paraId="5BF18044" w14:textId="77777777" w:rsidR="00F33FDB" w:rsidRDefault="00F33FDB" w:rsidP="00F33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564C9"/>
    <w:multiLevelType w:val="hybridMultilevel"/>
    <w:tmpl w:val="9C841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3777D2"/>
    <w:multiLevelType w:val="hybridMultilevel"/>
    <w:tmpl w:val="3AFC5176"/>
    <w:lvl w:ilvl="0" w:tplc="DF60F59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A04CEC"/>
    <w:multiLevelType w:val="hybridMultilevel"/>
    <w:tmpl w:val="75DCD872"/>
    <w:lvl w:ilvl="0" w:tplc="F5ECE53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1C354C"/>
    <w:multiLevelType w:val="hybridMultilevel"/>
    <w:tmpl w:val="9E884CF8"/>
    <w:lvl w:ilvl="0" w:tplc="6902E4BC">
      <w:start w:val="9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262416"/>
    <w:multiLevelType w:val="hybridMultilevel"/>
    <w:tmpl w:val="1AEACF54"/>
    <w:lvl w:ilvl="0" w:tplc="A06CD2D0">
      <w:numFmt w:val="bullet"/>
      <w:lvlText w:val="•"/>
      <w:lvlJc w:val="left"/>
      <w:pPr>
        <w:ind w:left="1068" w:hanging="708"/>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2A5BA8"/>
    <w:multiLevelType w:val="hybridMultilevel"/>
    <w:tmpl w:val="F4EEF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364B8E"/>
    <w:multiLevelType w:val="hybridMultilevel"/>
    <w:tmpl w:val="AB7AE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37"/>
    <w:rsid w:val="0003132B"/>
    <w:rsid w:val="000341AE"/>
    <w:rsid w:val="00044CF4"/>
    <w:rsid w:val="00063996"/>
    <w:rsid w:val="000650C6"/>
    <w:rsid w:val="00075DA0"/>
    <w:rsid w:val="00081CEF"/>
    <w:rsid w:val="000824FD"/>
    <w:rsid w:val="000C5F3E"/>
    <w:rsid w:val="000D6FAC"/>
    <w:rsid w:val="0010457C"/>
    <w:rsid w:val="0013428D"/>
    <w:rsid w:val="00176159"/>
    <w:rsid w:val="00196AF3"/>
    <w:rsid w:val="001A441C"/>
    <w:rsid w:val="001C3BA0"/>
    <w:rsid w:val="00297732"/>
    <w:rsid w:val="002D0D87"/>
    <w:rsid w:val="002F72A6"/>
    <w:rsid w:val="00315596"/>
    <w:rsid w:val="003172A8"/>
    <w:rsid w:val="003341E6"/>
    <w:rsid w:val="00380140"/>
    <w:rsid w:val="003C4701"/>
    <w:rsid w:val="003E1120"/>
    <w:rsid w:val="003F55A1"/>
    <w:rsid w:val="00424C6D"/>
    <w:rsid w:val="00431598"/>
    <w:rsid w:val="0044524E"/>
    <w:rsid w:val="00457E72"/>
    <w:rsid w:val="00483D1E"/>
    <w:rsid w:val="004D1EB0"/>
    <w:rsid w:val="004E53FF"/>
    <w:rsid w:val="005306C8"/>
    <w:rsid w:val="005529A0"/>
    <w:rsid w:val="00571DC1"/>
    <w:rsid w:val="005949B6"/>
    <w:rsid w:val="005B199E"/>
    <w:rsid w:val="005C0FE7"/>
    <w:rsid w:val="005E3BEC"/>
    <w:rsid w:val="00631570"/>
    <w:rsid w:val="006708BC"/>
    <w:rsid w:val="00686EF2"/>
    <w:rsid w:val="006D73F1"/>
    <w:rsid w:val="006F34BE"/>
    <w:rsid w:val="007052E1"/>
    <w:rsid w:val="00743737"/>
    <w:rsid w:val="00754A08"/>
    <w:rsid w:val="007630A0"/>
    <w:rsid w:val="00782180"/>
    <w:rsid w:val="00795000"/>
    <w:rsid w:val="007958B9"/>
    <w:rsid w:val="007B25E2"/>
    <w:rsid w:val="008029ED"/>
    <w:rsid w:val="0080675D"/>
    <w:rsid w:val="00811ADD"/>
    <w:rsid w:val="00882C6E"/>
    <w:rsid w:val="00883C91"/>
    <w:rsid w:val="00897EAB"/>
    <w:rsid w:val="008B00CC"/>
    <w:rsid w:val="009204C3"/>
    <w:rsid w:val="009401A3"/>
    <w:rsid w:val="009635B9"/>
    <w:rsid w:val="00965260"/>
    <w:rsid w:val="00A428A1"/>
    <w:rsid w:val="00A8465F"/>
    <w:rsid w:val="00AA6903"/>
    <w:rsid w:val="00AD363D"/>
    <w:rsid w:val="00AE5402"/>
    <w:rsid w:val="00B27012"/>
    <w:rsid w:val="00B27B77"/>
    <w:rsid w:val="00B30089"/>
    <w:rsid w:val="00B44824"/>
    <w:rsid w:val="00BB149D"/>
    <w:rsid w:val="00BD27E3"/>
    <w:rsid w:val="00BE457B"/>
    <w:rsid w:val="00C04885"/>
    <w:rsid w:val="00C21700"/>
    <w:rsid w:val="00C237AB"/>
    <w:rsid w:val="00C3015F"/>
    <w:rsid w:val="00C507DF"/>
    <w:rsid w:val="00C660D9"/>
    <w:rsid w:val="00C85A40"/>
    <w:rsid w:val="00C87C06"/>
    <w:rsid w:val="00D43AAD"/>
    <w:rsid w:val="00D539CA"/>
    <w:rsid w:val="00D6531D"/>
    <w:rsid w:val="00D7486F"/>
    <w:rsid w:val="00D76455"/>
    <w:rsid w:val="00D85293"/>
    <w:rsid w:val="00DA5A39"/>
    <w:rsid w:val="00DB11DA"/>
    <w:rsid w:val="00DC7896"/>
    <w:rsid w:val="00DD1B6E"/>
    <w:rsid w:val="00DD26AA"/>
    <w:rsid w:val="00E00349"/>
    <w:rsid w:val="00E12D53"/>
    <w:rsid w:val="00E6350D"/>
    <w:rsid w:val="00E6506B"/>
    <w:rsid w:val="00E72CA1"/>
    <w:rsid w:val="00EA6BEE"/>
    <w:rsid w:val="00EA6D2E"/>
    <w:rsid w:val="00EC722A"/>
    <w:rsid w:val="00ED41F5"/>
    <w:rsid w:val="00F13B6D"/>
    <w:rsid w:val="00F33FDB"/>
    <w:rsid w:val="00F43B68"/>
    <w:rsid w:val="00F50EB2"/>
    <w:rsid w:val="00F541A4"/>
    <w:rsid w:val="00FA6FA1"/>
    <w:rsid w:val="00FB0DF6"/>
    <w:rsid w:val="00FE39FD"/>
    <w:rsid w:val="00FF4ACC"/>
    <w:rsid w:val="00FF72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121CA5CD"/>
  <w14:defaultImageDpi w14:val="300"/>
  <w15:docId w15:val="{04394856-7D23-4972-B2FE-C028E96E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43737"/>
    <w:pPr>
      <w:spacing w:before="100" w:beforeAutospacing="1" w:after="100" w:afterAutospacing="1"/>
    </w:pPr>
    <w:rPr>
      <w:rFonts w:ascii="Times New Roman" w:hAnsi="Times New Roman" w:cs="Times New Roman"/>
      <w:sz w:val="20"/>
      <w:szCs w:val="20"/>
    </w:rPr>
  </w:style>
  <w:style w:type="character" w:styleId="lev">
    <w:name w:val="Strong"/>
    <w:basedOn w:val="Policepardfaut"/>
    <w:uiPriority w:val="22"/>
    <w:qFormat/>
    <w:rsid w:val="00743737"/>
    <w:rPr>
      <w:b/>
      <w:bCs/>
    </w:rPr>
  </w:style>
  <w:style w:type="paragraph" w:customStyle="1" w:styleId="yiv1840748461msonormal">
    <w:name w:val="yiv1840748461msonormal"/>
    <w:basedOn w:val="Normal"/>
    <w:rsid w:val="00743737"/>
    <w:pPr>
      <w:spacing w:before="100" w:beforeAutospacing="1" w:after="100" w:afterAutospacing="1"/>
    </w:pPr>
    <w:rPr>
      <w:rFonts w:ascii="Times New Roman" w:hAnsi="Times New Roman"/>
      <w:sz w:val="20"/>
      <w:szCs w:val="20"/>
    </w:rPr>
  </w:style>
  <w:style w:type="paragraph" w:customStyle="1" w:styleId="yiv1840748461msobodytext">
    <w:name w:val="yiv1840748461msobodytext"/>
    <w:basedOn w:val="Normal"/>
    <w:rsid w:val="00743737"/>
    <w:pPr>
      <w:spacing w:before="100" w:beforeAutospacing="1" w:after="100" w:afterAutospacing="1"/>
    </w:pPr>
    <w:rPr>
      <w:rFonts w:ascii="Times New Roman" w:hAnsi="Times New Roman"/>
      <w:sz w:val="20"/>
      <w:szCs w:val="20"/>
    </w:rPr>
  </w:style>
  <w:style w:type="paragraph" w:styleId="Paragraphedeliste">
    <w:name w:val="List Paragraph"/>
    <w:basedOn w:val="Normal"/>
    <w:uiPriority w:val="34"/>
    <w:qFormat/>
    <w:rsid w:val="00F50EB2"/>
    <w:pPr>
      <w:ind w:left="720"/>
      <w:contextualSpacing/>
    </w:pPr>
  </w:style>
  <w:style w:type="paragraph" w:styleId="En-tte">
    <w:name w:val="header"/>
    <w:basedOn w:val="Normal"/>
    <w:link w:val="En-tteCar"/>
    <w:uiPriority w:val="99"/>
    <w:unhideWhenUsed/>
    <w:rsid w:val="00F33FDB"/>
    <w:pPr>
      <w:tabs>
        <w:tab w:val="center" w:pos="4536"/>
        <w:tab w:val="right" w:pos="9072"/>
      </w:tabs>
    </w:pPr>
  </w:style>
  <w:style w:type="character" w:customStyle="1" w:styleId="En-tteCar">
    <w:name w:val="En-tête Car"/>
    <w:basedOn w:val="Policepardfaut"/>
    <w:link w:val="En-tte"/>
    <w:uiPriority w:val="99"/>
    <w:rsid w:val="00F33FDB"/>
  </w:style>
  <w:style w:type="paragraph" w:styleId="Pieddepage">
    <w:name w:val="footer"/>
    <w:basedOn w:val="Normal"/>
    <w:link w:val="PieddepageCar"/>
    <w:uiPriority w:val="99"/>
    <w:unhideWhenUsed/>
    <w:rsid w:val="00F33FDB"/>
    <w:pPr>
      <w:tabs>
        <w:tab w:val="center" w:pos="4536"/>
        <w:tab w:val="right" w:pos="9072"/>
      </w:tabs>
    </w:pPr>
  </w:style>
  <w:style w:type="character" w:customStyle="1" w:styleId="PieddepageCar">
    <w:name w:val="Pied de page Car"/>
    <w:basedOn w:val="Policepardfaut"/>
    <w:link w:val="Pieddepage"/>
    <w:uiPriority w:val="99"/>
    <w:rsid w:val="00F33FDB"/>
  </w:style>
  <w:style w:type="character" w:styleId="Marquedecommentaire">
    <w:name w:val="annotation reference"/>
    <w:basedOn w:val="Policepardfaut"/>
    <w:uiPriority w:val="99"/>
    <w:semiHidden/>
    <w:unhideWhenUsed/>
    <w:rsid w:val="004E53FF"/>
    <w:rPr>
      <w:sz w:val="16"/>
      <w:szCs w:val="16"/>
    </w:rPr>
  </w:style>
  <w:style w:type="paragraph" w:styleId="Commentaire">
    <w:name w:val="annotation text"/>
    <w:basedOn w:val="Normal"/>
    <w:link w:val="CommentaireCar"/>
    <w:uiPriority w:val="99"/>
    <w:semiHidden/>
    <w:unhideWhenUsed/>
    <w:rsid w:val="004E53FF"/>
    <w:rPr>
      <w:sz w:val="20"/>
      <w:szCs w:val="20"/>
    </w:rPr>
  </w:style>
  <w:style w:type="character" w:customStyle="1" w:styleId="CommentaireCar">
    <w:name w:val="Commentaire Car"/>
    <w:basedOn w:val="Policepardfaut"/>
    <w:link w:val="Commentaire"/>
    <w:uiPriority w:val="99"/>
    <w:semiHidden/>
    <w:rsid w:val="004E53FF"/>
    <w:rPr>
      <w:sz w:val="20"/>
      <w:szCs w:val="20"/>
    </w:rPr>
  </w:style>
  <w:style w:type="paragraph" w:styleId="Objetducommentaire">
    <w:name w:val="annotation subject"/>
    <w:basedOn w:val="Commentaire"/>
    <w:next w:val="Commentaire"/>
    <w:link w:val="ObjetducommentaireCar"/>
    <w:uiPriority w:val="99"/>
    <w:semiHidden/>
    <w:unhideWhenUsed/>
    <w:rsid w:val="004E53FF"/>
    <w:rPr>
      <w:b/>
      <w:bCs/>
    </w:rPr>
  </w:style>
  <w:style w:type="character" w:customStyle="1" w:styleId="ObjetducommentaireCar">
    <w:name w:val="Objet du commentaire Car"/>
    <w:basedOn w:val="CommentaireCar"/>
    <w:link w:val="Objetducommentaire"/>
    <w:uiPriority w:val="99"/>
    <w:semiHidden/>
    <w:rsid w:val="004E53FF"/>
    <w:rPr>
      <w:b/>
      <w:bCs/>
      <w:sz w:val="20"/>
      <w:szCs w:val="20"/>
    </w:rPr>
  </w:style>
  <w:style w:type="paragraph" w:styleId="Textedebulles">
    <w:name w:val="Balloon Text"/>
    <w:basedOn w:val="Normal"/>
    <w:link w:val="TextedebullesCar"/>
    <w:uiPriority w:val="99"/>
    <w:semiHidden/>
    <w:unhideWhenUsed/>
    <w:rsid w:val="004E53FF"/>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53FF"/>
    <w:rPr>
      <w:rFonts w:ascii="Segoe UI" w:hAnsi="Segoe UI" w:cs="Segoe UI"/>
      <w:sz w:val="18"/>
      <w:szCs w:val="18"/>
    </w:rPr>
  </w:style>
  <w:style w:type="character" w:styleId="Lienhypertexte">
    <w:name w:val="Hyperlink"/>
    <w:basedOn w:val="Policepardfaut"/>
    <w:uiPriority w:val="99"/>
    <w:unhideWhenUsed/>
    <w:rsid w:val="00631570"/>
    <w:rPr>
      <w:color w:val="0000FF" w:themeColor="hyperlink"/>
      <w:u w:val="single"/>
    </w:rPr>
  </w:style>
  <w:style w:type="character" w:styleId="Accentuation">
    <w:name w:val="Emphasis"/>
    <w:basedOn w:val="Policepardfaut"/>
    <w:uiPriority w:val="20"/>
    <w:qFormat/>
    <w:rsid w:val="003155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30993">
      <w:bodyDiv w:val="1"/>
      <w:marLeft w:val="0"/>
      <w:marRight w:val="0"/>
      <w:marTop w:val="0"/>
      <w:marBottom w:val="0"/>
      <w:divBdr>
        <w:top w:val="none" w:sz="0" w:space="0" w:color="auto"/>
        <w:left w:val="none" w:sz="0" w:space="0" w:color="auto"/>
        <w:bottom w:val="none" w:sz="0" w:space="0" w:color="auto"/>
        <w:right w:val="none" w:sz="0" w:space="0" w:color="auto"/>
      </w:divBdr>
    </w:div>
    <w:div w:id="487133382">
      <w:bodyDiv w:val="1"/>
      <w:marLeft w:val="0"/>
      <w:marRight w:val="0"/>
      <w:marTop w:val="0"/>
      <w:marBottom w:val="0"/>
      <w:divBdr>
        <w:top w:val="none" w:sz="0" w:space="0" w:color="auto"/>
        <w:left w:val="none" w:sz="0" w:space="0" w:color="auto"/>
        <w:bottom w:val="none" w:sz="0" w:space="0" w:color="auto"/>
        <w:right w:val="none" w:sz="0" w:space="0" w:color="auto"/>
      </w:divBdr>
    </w:div>
    <w:div w:id="676156817">
      <w:bodyDiv w:val="1"/>
      <w:marLeft w:val="0"/>
      <w:marRight w:val="0"/>
      <w:marTop w:val="0"/>
      <w:marBottom w:val="0"/>
      <w:divBdr>
        <w:top w:val="none" w:sz="0" w:space="0" w:color="auto"/>
        <w:left w:val="none" w:sz="0" w:space="0" w:color="auto"/>
        <w:bottom w:val="none" w:sz="0" w:space="0" w:color="auto"/>
        <w:right w:val="none" w:sz="0" w:space="0" w:color="auto"/>
      </w:divBdr>
      <w:divsChild>
        <w:div w:id="169163762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ph.communication@pm.gouv.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56B27-6D0A-4B8A-91E8-3B3910C0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1782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Dekerle</dc:creator>
  <cp:keywords/>
  <dc:description/>
  <cp:lastModifiedBy>LUNIAK Izabela</cp:lastModifiedBy>
  <cp:revision>5</cp:revision>
  <cp:lastPrinted>2020-12-23T14:17:00Z</cp:lastPrinted>
  <dcterms:created xsi:type="dcterms:W3CDTF">2021-04-13T10:53:00Z</dcterms:created>
  <dcterms:modified xsi:type="dcterms:W3CDTF">2021-04-13T10:57:00Z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7ec98-8aff-418c-9455-dc857e1ea7dc_Enabled">
    <vt:lpwstr>true</vt:lpwstr>
  </property>
  <property fmtid="{D5CDD505-2E9C-101B-9397-08002B2CF9AE}" pid="3" name="MSIP_Label_1387ec98-8aff-418c-9455-dc857e1ea7dc_SetDate">
    <vt:lpwstr>2020-08-24T16:03:49Z</vt:lpwstr>
  </property>
  <property fmtid="{D5CDD505-2E9C-101B-9397-08002B2CF9AE}" pid="4" name="MSIP_Label_1387ec98-8aff-418c-9455-dc857e1ea7dc_Method">
    <vt:lpwstr>Standard</vt:lpwstr>
  </property>
  <property fmtid="{D5CDD505-2E9C-101B-9397-08002B2CF9AE}" pid="5" name="MSIP_Label_1387ec98-8aff-418c-9455-dc857e1ea7dc_Name">
    <vt:lpwstr>1387ec98-8aff-418c-9455-dc857e1ea7dc</vt:lpwstr>
  </property>
  <property fmtid="{D5CDD505-2E9C-101B-9397-08002B2CF9AE}" pid="6" name="MSIP_Label_1387ec98-8aff-418c-9455-dc857e1ea7dc_SiteId">
    <vt:lpwstr>6eab6365-8194-49c6-a4d0-e2d1a0fbeb74</vt:lpwstr>
  </property>
  <property fmtid="{D5CDD505-2E9C-101B-9397-08002B2CF9AE}" pid="7" name="MSIP_Label_1387ec98-8aff-418c-9455-dc857e1ea7dc_ActionId">
    <vt:lpwstr>7bd44cc5-738f-461d-a8c0-00004815a31a</vt:lpwstr>
  </property>
  <property fmtid="{D5CDD505-2E9C-101B-9397-08002B2CF9AE}" pid="8" name="MSIP_Label_1387ec98-8aff-418c-9455-dc857e1ea7dc_ContentBits">
    <vt:lpwstr>2</vt:lpwstr>
  </property>
</Properties>
</file>