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743737" w:rsidRPr="00BE457B" w:rsidTr="0074373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  <w:gridCol w:w="9500"/>
            </w:tblGrid>
            <w:tr w:rsidR="00743737" w:rsidRPr="00BE457B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743737" w:rsidRPr="00BE457B" w:rsidRDefault="00743737" w:rsidP="00743737">
                  <w:pPr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  <w:tc>
                <w:tcPr>
                  <w:tcW w:w="9750" w:type="dxa"/>
                  <w:vAlign w:val="center"/>
                  <w:hideMark/>
                </w:tcPr>
                <w:p w:rsidR="00196AF3" w:rsidRPr="00BE457B" w:rsidRDefault="00BE457B">
                  <w:r w:rsidRPr="00BE457B">
                    <w:rPr>
                      <w:b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14988BB" wp14:editId="5A2FF20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-438150</wp:posOffset>
                        </wp:positionV>
                        <wp:extent cx="2447925" cy="1228725"/>
                        <wp:effectExtent l="0" t="0" r="9525" b="9525"/>
                        <wp:wrapNone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E_Personnes_Handicapees_RVB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79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E457B" w:rsidRPr="00BE457B" w:rsidRDefault="00BE457B"/>
                <w:p w:rsidR="00BE457B" w:rsidRPr="00BE457B" w:rsidRDefault="00BE457B"/>
                <w:p w:rsidR="00BE457B" w:rsidRPr="00BE457B" w:rsidRDefault="00BE457B"/>
                <w:p w:rsidR="00196AF3" w:rsidRPr="00BE457B" w:rsidRDefault="00196AF3"/>
                <w:p w:rsidR="00196AF3" w:rsidRPr="006F34BE" w:rsidRDefault="006F34BE">
                  <w:pPr>
                    <w:ind w:left="6654"/>
                    <w:rPr>
                      <w:rFonts w:asciiTheme="majorHAnsi" w:hAnsiTheme="majorHAnsi" w:cstheme="majorHAnsi"/>
                    </w:rPr>
                  </w:pPr>
                  <w:r w:rsidRPr="006F34BE">
                    <w:rPr>
                      <w:rFonts w:asciiTheme="majorHAnsi" w:hAnsiTheme="majorHAnsi" w:cstheme="majorHAnsi"/>
                    </w:rPr>
                    <w:t xml:space="preserve">Paris, le </w:t>
                  </w:r>
                  <w:r w:rsidR="001167B9">
                    <w:rPr>
                      <w:rFonts w:asciiTheme="majorHAnsi" w:hAnsiTheme="majorHAnsi" w:cstheme="majorHAnsi"/>
                    </w:rPr>
                    <w:t>14</w:t>
                  </w:r>
                  <w:r w:rsidR="00ED41F5">
                    <w:rPr>
                      <w:rFonts w:asciiTheme="majorHAnsi" w:hAnsiTheme="majorHAnsi" w:cstheme="majorHAnsi"/>
                    </w:rPr>
                    <w:t xml:space="preserve"> septembre 2020</w:t>
                  </w:r>
                </w:p>
                <w:p w:rsidR="00BE457B" w:rsidRPr="006F34BE" w:rsidRDefault="00BE457B">
                  <w:pPr>
                    <w:rPr>
                      <w:rFonts w:asciiTheme="majorHAnsi" w:hAnsiTheme="majorHAnsi" w:cstheme="majorHAnsi"/>
                    </w:rPr>
                  </w:pPr>
                </w:p>
                <w:p w:rsidR="00196AF3" w:rsidRPr="00BE457B" w:rsidRDefault="00196AF3"/>
                <w:p w:rsidR="00BE457B" w:rsidRPr="00BE457B" w:rsidRDefault="00BE457B"/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0"/>
                  </w:tblGrid>
                  <w:tr w:rsidR="00743737" w:rsidRPr="00BE457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96AF3" w:rsidRDefault="00196AF3" w:rsidP="00196AF3">
                        <w:pPr>
                          <w:jc w:val="center"/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47368F"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COMMUNIQU</w:t>
                        </w:r>
                        <w:r w:rsidR="006F34BE" w:rsidRPr="0047368F"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É</w:t>
                        </w:r>
                        <w:r w:rsidRPr="0047368F"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DE PRESSE</w:t>
                        </w:r>
                      </w:p>
                      <w:p w:rsidR="00B748D9" w:rsidRDefault="00B748D9" w:rsidP="00196AF3">
                        <w:pPr>
                          <w:jc w:val="center"/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B748D9" w:rsidRDefault="00B748D9" w:rsidP="00196AF3">
                        <w:pPr>
                          <w:jc w:val="center"/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B748D9" w:rsidRDefault="00B748D9" w:rsidP="00196AF3">
                        <w:pPr>
                          <w:jc w:val="center"/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B748D9" w:rsidRDefault="00B748D9" w:rsidP="00196AF3">
                        <w:pPr>
                          <w:jc w:val="center"/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noProof/>
                          </w:rPr>
                          <w:drawing>
                            <wp:inline distT="0" distB="0" distL="0" distR="0" wp14:anchorId="201ED6A6" wp14:editId="5A1D67BC">
                              <wp:extent cx="962025" cy="962025"/>
                              <wp:effectExtent l="0" t="0" r="9525" b="9525"/>
                              <wp:docPr id="1" name="Image 1" descr="C:\Users\pierre.maurel\AppData\Local\Microsoft\Windows\INetCache\Content.Word\logo_fr_relan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pierre.maurel\AppData\Local\Microsoft\Windows\INetCache\Content.Word\logo_fr_relan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962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48D9" w:rsidRDefault="00B748D9" w:rsidP="00196AF3">
                        <w:pPr>
                          <w:jc w:val="center"/>
                          <w:rPr>
                            <w:rStyle w:val="lev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96AF3" w:rsidRPr="0047368F" w:rsidRDefault="00196AF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00"/>
                        </w:tblGrid>
                        <w:tr w:rsidR="00743737" w:rsidRPr="0047368F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196AF3" w:rsidRPr="0047368F" w:rsidRDefault="00196AF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00"/>
                              </w:tblGrid>
                              <w:tr w:rsidR="00743737" w:rsidRPr="0047368F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C237AB" w:rsidRPr="0047368F" w:rsidRDefault="006F34BE" w:rsidP="00F541A4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ind w:left="680" w:right="68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  <w:r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  <w:r w:rsidR="00BE2D02"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t>FRANCE</w:t>
                                    </w:r>
                                    <w:r w:rsidR="00196AF3"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 RELANCE</w:t>
                                    </w:r>
                                    <w:r w:rsidR="00F541A4"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 PORTE </w:t>
                                    </w:r>
                                    <w:r w:rsidR="005C0FE7"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t>LES</w:t>
                                    </w:r>
                                    <w:r w:rsidR="00C237AB"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 INVESTISSEMENTS STRUCTURELS</w:t>
                                    </w:r>
                                  </w:p>
                                  <w:p w:rsidR="0044524E" w:rsidRPr="0047368F" w:rsidRDefault="00F541A4" w:rsidP="00F541A4">
                                    <w:pPr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ind w:left="680" w:right="680"/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t>D’UNE SOCIETE PLUS INCLUSIVE</w:t>
                                    </w:r>
                                    <w:r w:rsidR="006F34BE" w:rsidRPr="0047368F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</w:p>
                                  <w:tbl>
                                    <w:tblPr>
                                      <w:tblpPr w:leftFromText="60" w:rightFromText="60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00"/>
                                    </w:tblGrid>
                                    <w:tr w:rsidR="00743737" w:rsidRPr="0047368F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4524E" w:rsidRPr="0047368F" w:rsidRDefault="0044524E">
                                          <w:pPr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  <w:p w:rsidR="00C237AB" w:rsidRPr="0047368F" w:rsidRDefault="00C237AB">
                                          <w:pPr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  <w:p w:rsidR="00C3015F" w:rsidRPr="0047368F" w:rsidRDefault="00BE2D02" w:rsidP="00063996">
                                          <w:pPr>
                                            <w:jc w:val="both"/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>France Relance</w:t>
                                          </w:r>
                                          <w:r w:rsidR="00C237AB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 xml:space="preserve"> traduit concrètement la mobilisation totale du Gouvernement en faveur de l’emploi</w:t>
                                          </w:r>
                                          <w:r w:rsidR="00C237AB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 xml:space="preserve">. 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>Les personnes en situation de handicap bénéficieront ainsi de l’investissement massif de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 xml:space="preserve"> 6,5 milliards d’euros du plan</w:t>
                                          </w:r>
                                          <w:r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 xml:space="preserve"> #1jeune1solution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 xml:space="preserve">, </w:t>
                                          </w:r>
                                          <w:r w:rsidR="007F79A0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>pour un objectif d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>’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>embauche de 8.000 jeunes en situation de handicap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 xml:space="preserve">. </w:t>
                                          </w:r>
                                          <w:r w:rsidR="007F79A0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>D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>ans ce contexte inédit</w:t>
                                          </w:r>
                                          <w:r w:rsidR="007F79A0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 xml:space="preserve"> de crise sanitaire et économique, l’ensemble des travailleurs handicapés étant exposés aux aléas du marché du travail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 xml:space="preserve">, 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>un</w:t>
                                          </w:r>
                                          <w:r w:rsidR="008D1FE2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>e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 xml:space="preserve"> </w:t>
                                          </w:r>
                                          <w:r w:rsidR="008D1FE2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>aide exceptionnelle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 xml:space="preserve"> de 100 millions d’euros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 xml:space="preserve"> permettra d</w:t>
                                          </w:r>
                                          <w:r w:rsidR="008D1FE2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>e dynamiser le recrutement, sans limite d’âge, de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 xml:space="preserve"> près de 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b/>
                                              <w:sz w:val="22"/>
                                              <w:szCs w:val="22"/>
                                            </w:rPr>
                                            <w:t>30.000 personnes</w:t>
                                          </w:r>
                                          <w:r w:rsidR="00C3015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 xml:space="preserve"> en situation de handicap</w:t>
                                          </w:r>
                                          <w:r w:rsidR="00B8334F" w:rsidRPr="0047368F">
                                            <w:rPr>
                                              <w:rFonts w:ascii="Arial" w:hAnsi="Arial" w:cs="Arial"/>
                                              <w:sz w:val="22"/>
                                              <w:szCs w:val="22"/>
                                            </w:rPr>
                                            <w:t>.</w:t>
                                          </w:r>
                                        </w:p>
                                        <w:tbl>
                                          <w:tblPr>
                                            <w:tblpPr w:leftFromText="60" w:rightFromText="60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00"/>
                                          </w:tblGrid>
                                          <w:tr w:rsidR="00743737" w:rsidRPr="0047368F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A116A5" w:rsidRPr="0047368F" w:rsidRDefault="00A116A5" w:rsidP="00C85A40">
                                                <w:pPr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  <w:p w:rsidR="00063996" w:rsidRPr="0047368F" w:rsidRDefault="008D1FE2" w:rsidP="00C85A40">
                                                <w:pPr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En complément</w:t>
                                                </w:r>
                                                <w:r w:rsidR="00BE2D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du soutien à l’emploi, </w:t>
                                                </w:r>
                                                <w:r w:rsidR="00BE2D0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l</w:t>
                                                </w:r>
                                                <w:r w:rsidR="00A0574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e P</w:t>
                                                </w:r>
                                                <w:r w:rsidR="00063996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lan de relance porte également des engagements financiers importants pour rendre la société plus inclusive</w:t>
                                                </w:r>
                                                <w:r w:rsidR="00D7486F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et plus accessible</w:t>
                                                </w:r>
                                                <w:r w:rsidR="0006399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A116A5" w:rsidRPr="0047368F" w:rsidRDefault="00057FFB" w:rsidP="00A116A5">
                                                <w:pPr>
                                                  <w:spacing w:before="100" w:beforeAutospacing="1" w:after="100" w:afterAutospacing="1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Selon </w:t>
                                                </w:r>
                                                <w:r w:rsidR="00A116A5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Sophie </w:t>
                                                </w:r>
                                                <w:proofErr w:type="spellStart"/>
                                                <w:r w:rsidR="00A116A5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Cluzel</w:t>
                                                </w:r>
                                                <w:proofErr w:type="spellEnd"/>
                                                <w:r w:rsidR="00A116A5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,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Secrétaire d’Etat auprès du Premier Ministre en charge des personnes handicapées : </w:t>
                                                </w:r>
                                                <w:r w:rsidR="00A116A5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« que les personnes en situation de handicap bénéficient des différents volets </w:t>
                                                </w:r>
                                                <w:r w:rsidR="00AC39A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de France Relance</w:t>
                                                </w:r>
                                                <w:r w:rsidR="00A116A5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témoigne de la volonté sans cesse renouvelée d’inscrire le handicap comme une priorité du quinquennat</w:t>
                                                </w:r>
                                                <w:r w:rsidR="00AC39A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Les mesures et dispositifs </w:t>
                                                </w:r>
                                                <w:r w:rsidR="00A0574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en faveur de l’inclusion que nous avons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conçus et mis en œuvre</w:t>
                                                </w:r>
                                                <w:r w:rsidR="00A0574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depuis 2017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dans l’ensemble</w:t>
                                                </w:r>
                                                <w:r w:rsidR="00A0574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des politiques publiques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donne</w:t>
                                                </w:r>
                                                <w:r w:rsidR="00B8334F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nt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des premiers résultats positifs ; </w:t>
                                                </w:r>
                                                <w:r w:rsidR="00760177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je suis déterminée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760177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à </w:t>
                                                </w:r>
                                                <w:r w:rsidR="000E0F0C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amplifier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la dynamique enclenchée</w:t>
                                                </w:r>
                                                <w:r w:rsidR="00760177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en faveur du parcours de vie des personnes en situation de handicap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 » </w:t>
                                                </w:r>
                                                <w:r w:rsidR="00A0574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 </w:t>
                                                </w:r>
                                              </w:p>
                                              <w:p w:rsidR="005C0FE7" w:rsidRPr="0047368F" w:rsidRDefault="009401A3" w:rsidP="009401A3">
                                                <w:pPr>
                                                  <w:pStyle w:val="Paragraphedeliste"/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20" w:after="120"/>
                                                  <w:contextualSpacing w:val="0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Avec une communication publique et des services numériques plus accessibles.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D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ans la continuité des </w:t>
                                                </w:r>
                                                <w:r w:rsidR="00057FFB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avancées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réalisé</w:t>
                                                </w:r>
                                                <w:r w:rsidR="00057FFB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e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s pendant la crise sanitaire en matière d’accessibilité de la communication gouvernementale, un </w:t>
                                                </w:r>
                                                <w:r w:rsidR="005C0FE7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investissement d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e </w:t>
                                                </w:r>
                                                <w:r w:rsidR="005C0FE7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1 Md€</w:t>
                                                </w:r>
                                                <w:r w:rsidR="005C0FE7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dans</w:t>
                                                </w:r>
                                                <w:r w:rsidR="005C0FE7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la transformation numérique de l’Etat et des territoires </w:t>
                                                </w:r>
                                                <w:r w:rsidR="007052E1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permettra </w:t>
                                                </w:r>
                                                <w:r w:rsidR="000E0F0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notamment</w:t>
                                                </w:r>
                                                <w:r w:rsidR="007052E1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de </w:t>
                                                </w:r>
                                                <w:r w:rsidR="005C0FE7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renforcer l’accessibilité des services publics numériques</w:t>
                                                </w:r>
                                                <w:r w:rsidR="005C0FE7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 ; </w:t>
                                                </w:r>
                                              </w:p>
                                              <w:p w:rsidR="005C0FE7" w:rsidRPr="0047368F" w:rsidRDefault="009401A3" w:rsidP="009401A3">
                                                <w:pPr>
                                                  <w:pStyle w:val="Paragraphedeliste"/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20" w:after="120"/>
                                                  <w:contextualSpacing w:val="0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Avec des investissements dans l’accessibilité des transports et des bâtiments publics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 L’amélioration de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l’accessibilité du bâti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est une priorité de 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l’effort de rénovation des bâtiments publics qui va mobiliser 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4 Md€,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notamment au profit des bâtiments publics de l'enseignement supérieur. 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L’accessibilité des transports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sera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également améliorée </w:t>
                                                </w:r>
                                                <w:r w:rsidR="0070358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grâce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70358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aux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investissements </w:t>
                                                </w:r>
                                                <w:r w:rsidR="000E0F0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de France Relance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dans les mobilités</w:t>
                                                </w:r>
                                                <w:r w:rsidR="0070358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 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120 M€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seront investis pour</w:t>
                                                </w:r>
                                                <w:r w:rsidR="001167B9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0E0F0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garantir 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l’accessibilité des gares SNCF pour les personnes à mobilité réduite d’ici 2025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2F72A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;</w:t>
                                                </w:r>
                                              </w:p>
                                              <w:p w:rsidR="003341E6" w:rsidRPr="0047368F" w:rsidRDefault="006D73F1" w:rsidP="003341E6">
                                                <w:pPr>
                                                  <w:pStyle w:val="Paragraphedeliste"/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20" w:after="120"/>
                                                  <w:contextualSpacing w:val="0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Avec</w:t>
                                                </w:r>
                                                <w:r w:rsidR="009401A3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une relance industrielle inclusive.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Le</w:t>
                                                </w:r>
                                                <w:r w:rsidR="003341E6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fond de relocalisation</w:t>
                                                </w:r>
                                                <w:r w:rsidR="003341E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, en soutien au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x</w:t>
                                                </w:r>
                                                <w:r w:rsidR="003341E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projet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s</w:t>
                                                </w:r>
                                                <w:r w:rsidR="003341E6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i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ndustriels dans les territoires (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400 M€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), pourra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ainsi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bénéficier à 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des projets à forte dimension inclusive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, sur le modèle du projet 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i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Résilience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développé au cœur de la crise sanitaire dans le secteur textile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 Cet </w:t>
                                                </w:r>
                                                <w:r w:rsidR="003D442F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investissement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vient s’ajouter au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dispositif exceptionnel de soutien aux structures d’insertion par l’activité économique et aux entreprises adaptées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, doté de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300 M€</w:t>
                                                </w:r>
                                                <w:r w:rsidR="00057FFB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; </w:t>
                                                </w:r>
                                              </w:p>
                                              <w:p w:rsidR="004D1EB0" w:rsidRPr="0047368F" w:rsidRDefault="006D73F1" w:rsidP="006D73F1">
                                                <w:pPr>
                                                  <w:pStyle w:val="Paragraphedeliste"/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spacing w:before="120" w:after="120"/>
                                                  <w:contextualSpacing w:val="0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Avec les investissements </w:t>
                                                </w:r>
                                                <w:r w:rsidR="00057FFB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massifs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issus du Ségur de la santé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, qui contribueront à répondre 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aux besoins spécifiques des personnes handicapées</w:t>
                                                </w: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.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D43AAD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1,4 Md€</w:t>
                                                </w:r>
                                                <w:r w:rsidR="00D43AAD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057FFB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est consacré au</w:t>
                                                </w:r>
                                                <w:r w:rsidR="00D43AAD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rattrapage du retard sur les outils du numérique en santé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057FFB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afin d’</w:t>
                                                </w:r>
                                                <w:r w:rsidR="003D442F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améliorer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les conditions d’accès aux soins des personnes handicapées </w:t>
                                                </w:r>
                                                <w:r w:rsidR="00D43AAD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(Dossier Médical Personnel, 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développement de la télémédecine…). Les 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1,2 Md€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investis pour la 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rénovation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de 65 000 places d’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EHPA</w:t>
                                                </w:r>
                                                <w:r w:rsidR="005B199E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D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à horizon 2025 </w:t>
                                                </w:r>
                                                <w:r w:rsidR="00B44824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bénéficieront </w:t>
                                                </w:r>
                                                <w:r w:rsidR="00B44824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aux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personnes handicapées vieillissantes</w:t>
                                                </w:r>
                                                <w:r w:rsidR="004D1EB0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 </w:t>
                                                </w:r>
                                                <w:r w:rsidR="00951D6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Pour le </w:t>
                                                </w:r>
                                                <w:r w:rsidR="00951D6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secteur médico-social, 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600 M€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70358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investis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d</w:t>
                                                </w:r>
                                                <w:r w:rsidR="00951D62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ans le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numérique </w:t>
                                                </w:r>
                                                <w:r w:rsidR="0070358C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vont permettre de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faciliter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le quotidien des professionnels</w:t>
                                                </w:r>
                                                <w:r w:rsidR="00DA5A3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,</w:t>
                                                </w:r>
                                                <w:r w:rsidR="00AE540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la coo</w:t>
                                                </w:r>
                                                <w:r w:rsidR="00DA5A3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pération des différents acteurs </w:t>
                                                </w:r>
                                                <w:r w:rsidR="00951D62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ainsi que</w:t>
                                                </w:r>
                                                <w:r w:rsidR="00DA5A39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l’accompagnement et le lien avec les familles</w:t>
                                                </w:r>
                                                <w:r w:rsidR="00DB11DA"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4D1EB0" w:rsidRPr="0047368F" w:rsidRDefault="004D1EB0" w:rsidP="004D1EB0">
                                                <w:pPr>
                                                  <w:pStyle w:val="Paragraphedeliste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  <w:p w:rsidR="005B199E" w:rsidRPr="0047368F" w:rsidRDefault="005B199E" w:rsidP="005B199E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631570" w:rsidRPr="0047368F" w:rsidRDefault="00631570" w:rsidP="00631570">
                                                <w:pPr>
                                                  <w:shd w:val="clear" w:color="auto" w:fill="FFFFFF"/>
                                                  <w:spacing w:before="100" w:beforeAutospacing="1" w:after="100" w:afterAutospacing="1"/>
                                                  <w:rPr>
                                                    <w:rFonts w:ascii="Arial" w:hAnsi="Arial" w:cs="Arial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  <w:p w:rsidR="0047368F" w:rsidRPr="0047368F" w:rsidRDefault="0047368F" w:rsidP="0047368F">
                                                <w:pPr>
                                                  <w:shd w:val="clear" w:color="auto" w:fill="FFFFFF"/>
                                                  <w:spacing w:before="100" w:beforeAutospacing="1" w:after="100" w:afterAutospacing="1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Contact presse :</w:t>
                                                </w:r>
                                              </w:p>
                                              <w:p w:rsidR="0047368F" w:rsidRPr="0047368F" w:rsidRDefault="00FD0AC3" w:rsidP="0047368F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hyperlink r:id="rId10" w:history="1">
                                                  <w:r w:rsidR="0047368F" w:rsidRPr="0047368F">
                                                    <w:rPr>
                                                      <w:rStyle w:val="Lienhypertexte"/>
                                                      <w:rFonts w:ascii="Arial" w:hAnsi="Arial" w:cs="Arial"/>
                                                      <w:b/>
                                                      <w:sz w:val="22"/>
                                                      <w:szCs w:val="22"/>
                                                    </w:rPr>
                                                    <w:t>seph.communication@pm.gouv.fr</w:t>
                                                  </w:r>
                                                </w:hyperlink>
                                                <w:r w:rsidR="0047368F" w:rsidRPr="0047368F">
                                                  <w:rPr>
                                                    <w:rStyle w:val="Lienhypertexte"/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="0047368F" w:rsidRPr="0047368F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t>01 40 56 88 02</w:t>
                                                </w:r>
                                              </w:p>
                                              <w:p w:rsidR="00631570" w:rsidRPr="0047368F" w:rsidRDefault="00631570" w:rsidP="0003132B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D363D" w:rsidRPr="0047368F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D363D" w:rsidRPr="0047368F" w:rsidRDefault="00AD363D" w:rsidP="00743737">
                                                <w:pPr>
                                                  <w:spacing w:before="100" w:beforeAutospacing="1" w:after="100" w:afterAutospacing="1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bCs/>
                                                    <w:color w:val="000000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43737" w:rsidRPr="0047368F" w:rsidRDefault="00743737" w:rsidP="00743737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3737" w:rsidRPr="0047368F" w:rsidRDefault="00743737" w:rsidP="00743737">
                                    <w:pPr>
                                      <w:rPr>
                                        <w:rFonts w:ascii="Arial" w:eastAsia="Times New Roman" w:hAnsi="Arial" w:cs="Arial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43737" w:rsidRPr="0047368F" w:rsidRDefault="00743737" w:rsidP="00743737">
                              <w:pPr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743737" w:rsidRPr="0047368F" w:rsidRDefault="00743737" w:rsidP="00743737">
                        <w:pPr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43737" w:rsidRPr="00BE457B" w:rsidRDefault="00743737" w:rsidP="00743737">
                  <w:pPr>
                    <w:jc w:val="center"/>
                    <w:rPr>
                      <w:rFonts w:asciiTheme="majorHAnsi" w:eastAsia="Times New Roman" w:hAnsiTheme="majorHAnsi" w:cstheme="majorHAnsi"/>
                    </w:rPr>
                  </w:pPr>
                </w:p>
              </w:tc>
            </w:tr>
          </w:tbl>
          <w:p w:rsidR="00743737" w:rsidRPr="00BE457B" w:rsidRDefault="00743737" w:rsidP="00743737">
            <w:pPr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743737" w:rsidRPr="00BE457B" w:rsidRDefault="00743737" w:rsidP="00631570">
      <w:pPr>
        <w:rPr>
          <w:rFonts w:asciiTheme="majorHAnsi" w:hAnsiTheme="majorHAnsi" w:cstheme="majorHAnsi"/>
        </w:rPr>
      </w:pPr>
    </w:p>
    <w:sectPr w:rsidR="00743737" w:rsidRPr="00BE457B" w:rsidSect="00AD363D">
      <w:footerReference w:type="default" r:id="rId11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C3" w:rsidRDefault="00FD0AC3" w:rsidP="00F33FDB">
      <w:r>
        <w:separator/>
      </w:r>
    </w:p>
  </w:endnote>
  <w:endnote w:type="continuationSeparator" w:id="0">
    <w:p w:rsidR="00FD0AC3" w:rsidRDefault="00FD0AC3" w:rsidP="00F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877204"/>
      <w:docPartObj>
        <w:docPartGallery w:val="Page Numbers (Bottom of Page)"/>
        <w:docPartUnique/>
      </w:docPartObj>
    </w:sdtPr>
    <w:sdtEndPr/>
    <w:sdtContent>
      <w:p w:rsidR="0047368F" w:rsidRDefault="004736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A6">
          <w:rPr>
            <w:noProof/>
          </w:rPr>
          <w:t>1</w:t>
        </w:r>
        <w:r>
          <w:fldChar w:fldCharType="end"/>
        </w:r>
      </w:p>
    </w:sdtContent>
  </w:sdt>
  <w:p w:rsidR="00F33FDB" w:rsidRDefault="00F33F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C3" w:rsidRDefault="00FD0AC3" w:rsidP="00F33FDB">
      <w:r>
        <w:separator/>
      </w:r>
    </w:p>
  </w:footnote>
  <w:footnote w:type="continuationSeparator" w:id="0">
    <w:p w:rsidR="00FD0AC3" w:rsidRDefault="00FD0AC3" w:rsidP="00F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64C9"/>
    <w:multiLevelType w:val="hybridMultilevel"/>
    <w:tmpl w:val="9C841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04CEC"/>
    <w:multiLevelType w:val="hybridMultilevel"/>
    <w:tmpl w:val="75DCD872"/>
    <w:lvl w:ilvl="0" w:tplc="F5ECE5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C354C"/>
    <w:multiLevelType w:val="hybridMultilevel"/>
    <w:tmpl w:val="9E884CF8"/>
    <w:lvl w:ilvl="0" w:tplc="6902E4BC">
      <w:start w:val="9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37"/>
    <w:rsid w:val="0003132B"/>
    <w:rsid w:val="00044CF4"/>
    <w:rsid w:val="00057FFB"/>
    <w:rsid w:val="00063996"/>
    <w:rsid w:val="000824FD"/>
    <w:rsid w:val="000C5F3E"/>
    <w:rsid w:val="000E0F0C"/>
    <w:rsid w:val="0010457C"/>
    <w:rsid w:val="001167B9"/>
    <w:rsid w:val="0013428D"/>
    <w:rsid w:val="00196AF3"/>
    <w:rsid w:val="001A441C"/>
    <w:rsid w:val="00297732"/>
    <w:rsid w:val="002F72A6"/>
    <w:rsid w:val="003341E6"/>
    <w:rsid w:val="00380140"/>
    <w:rsid w:val="003C4701"/>
    <w:rsid w:val="003D442F"/>
    <w:rsid w:val="003E1120"/>
    <w:rsid w:val="003F55A1"/>
    <w:rsid w:val="00424C6D"/>
    <w:rsid w:val="00431598"/>
    <w:rsid w:val="0044524E"/>
    <w:rsid w:val="0047368F"/>
    <w:rsid w:val="004D1EB0"/>
    <w:rsid w:val="004E53FF"/>
    <w:rsid w:val="005306C8"/>
    <w:rsid w:val="00540FA6"/>
    <w:rsid w:val="005B199E"/>
    <w:rsid w:val="005C0FE7"/>
    <w:rsid w:val="005E3BEC"/>
    <w:rsid w:val="00631570"/>
    <w:rsid w:val="00686EF2"/>
    <w:rsid w:val="006D7001"/>
    <w:rsid w:val="006D73F1"/>
    <w:rsid w:val="006F34BE"/>
    <w:rsid w:val="0070358C"/>
    <w:rsid w:val="007052E1"/>
    <w:rsid w:val="00714BE3"/>
    <w:rsid w:val="00743737"/>
    <w:rsid w:val="00754A08"/>
    <w:rsid w:val="00760177"/>
    <w:rsid w:val="007630A0"/>
    <w:rsid w:val="007958B9"/>
    <w:rsid w:val="007B25E2"/>
    <w:rsid w:val="007F79A0"/>
    <w:rsid w:val="00882C6E"/>
    <w:rsid w:val="00883C91"/>
    <w:rsid w:val="008D1FE2"/>
    <w:rsid w:val="0090193C"/>
    <w:rsid w:val="0091778F"/>
    <w:rsid w:val="009204C3"/>
    <w:rsid w:val="009401A3"/>
    <w:rsid w:val="00951D62"/>
    <w:rsid w:val="00A05749"/>
    <w:rsid w:val="00A116A5"/>
    <w:rsid w:val="00A428A1"/>
    <w:rsid w:val="00A8465F"/>
    <w:rsid w:val="00AA6903"/>
    <w:rsid w:val="00AB3B77"/>
    <w:rsid w:val="00AC39A2"/>
    <w:rsid w:val="00AD363D"/>
    <w:rsid w:val="00AE5402"/>
    <w:rsid w:val="00B27012"/>
    <w:rsid w:val="00B27B77"/>
    <w:rsid w:val="00B44824"/>
    <w:rsid w:val="00B748D9"/>
    <w:rsid w:val="00B8334F"/>
    <w:rsid w:val="00BE2D02"/>
    <w:rsid w:val="00BE457B"/>
    <w:rsid w:val="00C237AB"/>
    <w:rsid w:val="00C3015F"/>
    <w:rsid w:val="00C50554"/>
    <w:rsid w:val="00C85A40"/>
    <w:rsid w:val="00D43AAD"/>
    <w:rsid w:val="00D539CA"/>
    <w:rsid w:val="00D7486F"/>
    <w:rsid w:val="00D75A36"/>
    <w:rsid w:val="00D76455"/>
    <w:rsid w:val="00D85293"/>
    <w:rsid w:val="00DA5A39"/>
    <w:rsid w:val="00DB11DA"/>
    <w:rsid w:val="00DC7896"/>
    <w:rsid w:val="00DD1B6E"/>
    <w:rsid w:val="00E00349"/>
    <w:rsid w:val="00EC722A"/>
    <w:rsid w:val="00ED41F5"/>
    <w:rsid w:val="00F33FDB"/>
    <w:rsid w:val="00F43B68"/>
    <w:rsid w:val="00F50EB2"/>
    <w:rsid w:val="00F541A4"/>
    <w:rsid w:val="00FA6FA1"/>
    <w:rsid w:val="00FD0AC3"/>
    <w:rsid w:val="00FF2A93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CA5CD"/>
  <w14:defaultImageDpi w14:val="300"/>
  <w15:docId w15:val="{04394856-7D23-4972-B2FE-C028E96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73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743737"/>
    <w:rPr>
      <w:b/>
      <w:bCs/>
    </w:rPr>
  </w:style>
  <w:style w:type="paragraph" w:customStyle="1" w:styleId="yiv1840748461msonormal">
    <w:name w:val="yiv1840748461msonormal"/>
    <w:basedOn w:val="Normal"/>
    <w:rsid w:val="0074373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yiv1840748461msobodytext">
    <w:name w:val="yiv1840748461msobodytext"/>
    <w:basedOn w:val="Normal"/>
    <w:rsid w:val="0074373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50E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3F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FDB"/>
  </w:style>
  <w:style w:type="paragraph" w:styleId="Pieddepage">
    <w:name w:val="footer"/>
    <w:basedOn w:val="Normal"/>
    <w:link w:val="PieddepageCar"/>
    <w:uiPriority w:val="99"/>
    <w:unhideWhenUsed/>
    <w:rsid w:val="00F33F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FDB"/>
  </w:style>
  <w:style w:type="character" w:styleId="Marquedecommentaire">
    <w:name w:val="annotation reference"/>
    <w:basedOn w:val="Policepardfaut"/>
    <w:uiPriority w:val="99"/>
    <w:semiHidden/>
    <w:unhideWhenUsed/>
    <w:rsid w:val="004E5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53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5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5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5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4C17-AD59-4554-A172-6221A518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Dekerle</dc:creator>
  <cp:keywords/>
  <dc:description/>
  <cp:lastModifiedBy>ANDRE DANIEL Madeleine</cp:lastModifiedBy>
  <cp:revision>2</cp:revision>
  <cp:lastPrinted>2020-09-14T08:09:00Z</cp:lastPrinted>
  <dcterms:created xsi:type="dcterms:W3CDTF">2020-09-14T08:10:00Z</dcterms:created>
  <dcterms:modified xsi:type="dcterms:W3CDTF">2020-09-14T08:10:00Z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7ec98-8aff-418c-9455-dc857e1ea7dc_Enabled">
    <vt:lpwstr>true</vt:lpwstr>
  </property>
  <property fmtid="{D5CDD505-2E9C-101B-9397-08002B2CF9AE}" pid="3" name="MSIP_Label_1387ec98-8aff-418c-9455-dc857e1ea7dc_SetDate">
    <vt:lpwstr>2020-08-24T16:03:49Z</vt:lpwstr>
  </property>
  <property fmtid="{D5CDD505-2E9C-101B-9397-08002B2CF9AE}" pid="4" name="MSIP_Label_1387ec98-8aff-418c-9455-dc857e1ea7dc_Method">
    <vt:lpwstr>Standard</vt:lpwstr>
  </property>
  <property fmtid="{D5CDD505-2E9C-101B-9397-08002B2CF9AE}" pid="5" name="MSIP_Label_1387ec98-8aff-418c-9455-dc857e1ea7dc_Name">
    <vt:lpwstr>1387ec98-8aff-418c-9455-dc857e1ea7dc</vt:lpwstr>
  </property>
  <property fmtid="{D5CDD505-2E9C-101B-9397-08002B2CF9AE}" pid="6" name="MSIP_Label_1387ec98-8aff-418c-9455-dc857e1ea7dc_SiteId">
    <vt:lpwstr>6eab6365-8194-49c6-a4d0-e2d1a0fbeb74</vt:lpwstr>
  </property>
  <property fmtid="{D5CDD505-2E9C-101B-9397-08002B2CF9AE}" pid="7" name="MSIP_Label_1387ec98-8aff-418c-9455-dc857e1ea7dc_ActionId">
    <vt:lpwstr>7bd44cc5-738f-461d-a8c0-00004815a31a</vt:lpwstr>
  </property>
  <property fmtid="{D5CDD505-2E9C-101B-9397-08002B2CF9AE}" pid="8" name="MSIP_Label_1387ec98-8aff-418c-9455-dc857e1ea7dc_ContentBits">
    <vt:lpwstr>2</vt:lpwstr>
  </property>
</Properties>
</file>