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743737" w:rsidRPr="008029ED" w14:paraId="12878618" w14:textId="77777777" w:rsidTr="00743737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"/>
              <w:gridCol w:w="9352"/>
            </w:tblGrid>
            <w:tr w:rsidR="00743737" w:rsidRPr="008029ED" w14:paraId="38A1298F" w14:textId="77777777" w:rsidTr="00795000">
              <w:tc>
                <w:tcPr>
                  <w:tcW w:w="146" w:type="dxa"/>
                  <w:shd w:val="clear" w:color="auto" w:fill="FFFFFF"/>
                  <w:vAlign w:val="center"/>
                  <w:hideMark/>
                </w:tcPr>
                <w:p w14:paraId="1499B2DF" w14:textId="77777777" w:rsidR="00743737" w:rsidRPr="008029ED" w:rsidRDefault="00743737" w:rsidP="00743737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352" w:type="dxa"/>
                  <w:vAlign w:val="center"/>
                  <w:hideMark/>
                </w:tcPr>
                <w:p w14:paraId="225A8C89" w14:textId="00ABC1DF" w:rsidR="00196AF3" w:rsidRPr="008029ED" w:rsidRDefault="000D6FAC" w:rsidP="000D6FAC">
                  <w:pPr>
                    <w:ind w:left="-149" w:firstLine="149"/>
                    <w:rPr>
                      <w:rFonts w:ascii="Arial" w:hAnsi="Arial" w:cs="Arial"/>
                    </w:rPr>
                  </w:pPr>
                  <w:r w:rsidRPr="008029ED">
                    <w:rPr>
                      <w:rFonts w:ascii="Arial" w:hAnsi="Arial" w:cs="Arial"/>
                      <w:b/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1836FD76" wp14:editId="23218CC6">
                        <wp:simplePos x="0" y="0"/>
                        <wp:positionH relativeFrom="column">
                          <wp:posOffset>-238760</wp:posOffset>
                        </wp:positionH>
                        <wp:positionV relativeFrom="paragraph">
                          <wp:posOffset>-609600</wp:posOffset>
                        </wp:positionV>
                        <wp:extent cx="2447925" cy="1228725"/>
                        <wp:effectExtent l="0" t="0" r="9525" b="9525"/>
                        <wp:wrapNone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E_Personnes_Handicapees_RVB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7925" cy="1228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64BCFACF" w14:textId="40EEB77B" w:rsidR="00BE457B" w:rsidRPr="008029ED" w:rsidRDefault="00BE457B">
                  <w:pPr>
                    <w:rPr>
                      <w:rFonts w:ascii="Arial" w:hAnsi="Arial" w:cs="Arial"/>
                    </w:rPr>
                  </w:pPr>
                </w:p>
                <w:p w14:paraId="2101D32F" w14:textId="5E0F8252" w:rsidR="00BE457B" w:rsidRPr="008029ED" w:rsidRDefault="00BE457B">
                  <w:pPr>
                    <w:rPr>
                      <w:rFonts w:ascii="Arial" w:hAnsi="Arial" w:cs="Arial"/>
                    </w:rPr>
                  </w:pPr>
                </w:p>
                <w:p w14:paraId="1407723D" w14:textId="77777777" w:rsidR="00BE457B" w:rsidRPr="008029ED" w:rsidRDefault="00BE457B">
                  <w:pPr>
                    <w:rPr>
                      <w:rFonts w:ascii="Arial" w:hAnsi="Arial" w:cs="Arial"/>
                    </w:rPr>
                  </w:pPr>
                </w:p>
                <w:p w14:paraId="2F9D2CAD" w14:textId="3BC7AB03" w:rsidR="00196AF3" w:rsidRPr="008029ED" w:rsidRDefault="00196AF3">
                  <w:pPr>
                    <w:rPr>
                      <w:rFonts w:ascii="Arial" w:hAnsi="Arial" w:cs="Arial"/>
                    </w:rPr>
                  </w:pPr>
                </w:p>
                <w:p w14:paraId="75F85479" w14:textId="45CC014B" w:rsidR="00196AF3" w:rsidRPr="008029ED" w:rsidRDefault="006F34BE" w:rsidP="008029ED">
                  <w:pPr>
                    <w:jc w:val="right"/>
                    <w:rPr>
                      <w:rFonts w:ascii="Arial" w:hAnsi="Arial" w:cs="Arial"/>
                    </w:rPr>
                  </w:pPr>
                  <w:r w:rsidRPr="008029ED">
                    <w:rPr>
                      <w:rFonts w:ascii="Arial" w:hAnsi="Arial" w:cs="Arial"/>
                    </w:rPr>
                    <w:t xml:space="preserve">Paris, le </w:t>
                  </w:r>
                  <w:r w:rsidR="00C92290">
                    <w:rPr>
                      <w:rFonts w:ascii="Arial" w:hAnsi="Arial" w:cs="Arial"/>
                    </w:rPr>
                    <w:t>15</w:t>
                  </w:r>
                  <w:bookmarkStart w:id="0" w:name="_GoBack"/>
                  <w:bookmarkEnd w:id="0"/>
                  <w:r w:rsidR="008B00CC">
                    <w:rPr>
                      <w:rFonts w:ascii="Arial" w:hAnsi="Arial" w:cs="Arial"/>
                    </w:rPr>
                    <w:t xml:space="preserve"> février</w:t>
                  </w:r>
                  <w:r w:rsidR="00E72CA1">
                    <w:rPr>
                      <w:rFonts w:ascii="Arial" w:hAnsi="Arial" w:cs="Arial"/>
                    </w:rPr>
                    <w:t xml:space="preserve"> 2021</w:t>
                  </w:r>
                </w:p>
                <w:p w14:paraId="0D2813B0" w14:textId="77777777" w:rsidR="00BE457B" w:rsidRPr="008029ED" w:rsidRDefault="00BE457B">
                  <w:pPr>
                    <w:rPr>
                      <w:rFonts w:ascii="Arial" w:hAnsi="Arial" w:cs="Arial"/>
                    </w:rPr>
                  </w:pPr>
                </w:p>
                <w:p w14:paraId="7749955C" w14:textId="77777777" w:rsidR="00BE457B" w:rsidRPr="008029ED" w:rsidRDefault="00BE457B">
                  <w:pPr>
                    <w:rPr>
                      <w:rFonts w:ascii="Arial" w:hAnsi="Arial" w:cs="Arial"/>
                    </w:rPr>
                  </w:pPr>
                </w:p>
                <w:p w14:paraId="0133BB32" w14:textId="77777777" w:rsidR="00743737" w:rsidRPr="008029ED" w:rsidRDefault="00743737" w:rsidP="00743737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14:paraId="19C415DD" w14:textId="77777777" w:rsidR="00743737" w:rsidRPr="008029ED" w:rsidRDefault="00743737" w:rsidP="00743737">
            <w:pPr>
              <w:rPr>
                <w:rFonts w:ascii="Arial" w:eastAsia="Times New Roman" w:hAnsi="Arial" w:cs="Arial"/>
              </w:rPr>
            </w:pPr>
          </w:p>
        </w:tc>
      </w:tr>
    </w:tbl>
    <w:tbl>
      <w:tblPr>
        <w:tblpPr w:leftFromText="60" w:rightFromText="60" w:vertAnchor="text"/>
        <w:tblW w:w="485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8029ED" w:rsidRPr="008029ED" w14:paraId="21F8D7DA" w14:textId="77777777" w:rsidTr="00795000">
        <w:tc>
          <w:tcPr>
            <w:tcW w:w="5000" w:type="pct"/>
            <w:vAlign w:val="center"/>
            <w:hideMark/>
          </w:tcPr>
          <w:tbl>
            <w:tblPr>
              <w:tblpPr w:leftFromText="141" w:rightFromText="141" w:vertAnchor="text" w:horzAnchor="margin" w:tblpY="-1777"/>
              <w:tblOverlap w:val="never"/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8029ED" w:rsidRPr="008029ED" w14:paraId="74F84431" w14:textId="77777777" w:rsidTr="008029ED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64988C" w14:textId="1B73CA75" w:rsidR="008029ED" w:rsidRDefault="008029ED" w:rsidP="008029ED">
                  <w:pPr>
                    <w:spacing w:line="276" w:lineRule="auto"/>
                    <w:jc w:val="center"/>
                    <w:rPr>
                      <w:rStyle w:val="lev"/>
                      <w:rFonts w:ascii="Arial" w:hAnsi="Arial" w:cs="Arial"/>
                      <w:b w:val="0"/>
                      <w:color w:val="000000"/>
                    </w:rPr>
                  </w:pPr>
                  <w:r w:rsidRPr="008029ED">
                    <w:rPr>
                      <w:rStyle w:val="lev"/>
                      <w:rFonts w:ascii="Arial" w:hAnsi="Arial" w:cs="Arial"/>
                      <w:b w:val="0"/>
                      <w:color w:val="000000"/>
                    </w:rPr>
                    <w:t>COMMUNIQUÉ DE PRESSE</w:t>
                  </w:r>
                </w:p>
                <w:p w14:paraId="442AA2A0" w14:textId="77777777" w:rsidR="008029ED" w:rsidRPr="008029ED" w:rsidRDefault="008029ED" w:rsidP="008029ED">
                  <w:pPr>
                    <w:spacing w:line="276" w:lineRule="auto"/>
                    <w:jc w:val="center"/>
                    <w:rPr>
                      <w:rStyle w:val="lev"/>
                      <w:rFonts w:ascii="Arial" w:hAnsi="Arial" w:cs="Arial"/>
                      <w:b w:val="0"/>
                      <w:color w:val="000000"/>
                    </w:rPr>
                  </w:pPr>
                </w:p>
                <w:p w14:paraId="5D3D1FBB" w14:textId="77777777" w:rsidR="008029ED" w:rsidRPr="008029ED" w:rsidRDefault="008029ED" w:rsidP="008029ED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41B8A400" w14:textId="77777777" w:rsidR="008B00CC" w:rsidRDefault="00E72CA1" w:rsidP="008B00C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Cs w:val="32"/>
                    </w:rPr>
                    <w:t xml:space="preserve">Le crédit d’impôt </w:t>
                  </w:r>
                  <w:r w:rsidR="008B00CC">
                    <w:rPr>
                      <w:rFonts w:ascii="Arial" w:hAnsi="Arial" w:cs="Arial"/>
                      <w:b/>
                      <w:szCs w:val="32"/>
                    </w:rPr>
                    <w:t xml:space="preserve">en faveur des services à la personne </w:t>
                  </w:r>
                </w:p>
                <w:p w14:paraId="0CF71FEE" w14:textId="083DB0EA" w:rsidR="008029ED" w:rsidRPr="008029ED" w:rsidRDefault="008B00CC" w:rsidP="008B00CC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Cs w:val="32"/>
                    </w:rPr>
                    <w:t>continuera</w:t>
                  </w:r>
                  <w:proofErr w:type="gramEnd"/>
                  <w:r>
                    <w:rPr>
                      <w:rFonts w:ascii="Arial" w:hAnsi="Arial" w:cs="Arial"/>
                      <w:b/>
                      <w:szCs w:val="32"/>
                    </w:rPr>
                    <w:t xml:space="preserve"> à pouvoir concerner les activités hors du domicile</w:t>
                  </w: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9"/>
                  </w:tblGrid>
                  <w:tr w:rsidR="008029ED" w:rsidRPr="008029ED" w14:paraId="69D1507D" w14:textId="77777777" w:rsidTr="008441D6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7F909C83" w14:textId="77777777" w:rsidR="008029ED" w:rsidRPr="008029ED" w:rsidRDefault="008029ED" w:rsidP="00AB1BC8">
                        <w:pPr>
                          <w:framePr w:hSpace="60" w:wrap="around" w:vAnchor="text" w:hAnchor="text"/>
                          <w:spacing w:line="276" w:lineRule="auto"/>
                          <w:rPr>
                            <w:rFonts w:ascii="Arial" w:eastAsia="Times New Roman" w:hAnsi="Arial" w:cs="Arial"/>
                            <w:sz w:val="20"/>
                          </w:rPr>
                        </w:pPr>
                      </w:p>
                    </w:tc>
                  </w:tr>
                </w:tbl>
                <w:p w14:paraId="1E09B1D7" w14:textId="77777777" w:rsidR="008029ED" w:rsidRPr="008029ED" w:rsidRDefault="008029ED" w:rsidP="008029ED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14:paraId="4FC9D87D" w14:textId="77777777" w:rsidR="008029ED" w:rsidRPr="008029ED" w:rsidRDefault="008029ED" w:rsidP="008029ED">
            <w:pPr>
              <w:spacing w:line="276" w:lineRule="auto"/>
              <w:rPr>
                <w:rFonts w:ascii="Arial" w:hAnsi="Arial" w:cs="Arial"/>
              </w:rPr>
            </w:pPr>
          </w:p>
          <w:tbl>
            <w:tblPr>
              <w:tblpPr w:leftFromText="60" w:rightFromText="60" w:vertAnchor="text"/>
              <w:tblW w:w="494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23"/>
            </w:tblGrid>
            <w:tr w:rsidR="008029ED" w:rsidRPr="008029ED" w14:paraId="2AD50BDB" w14:textId="77777777" w:rsidTr="00E86F04">
              <w:tc>
                <w:tcPr>
                  <w:tcW w:w="5000" w:type="pct"/>
                  <w:vAlign w:val="center"/>
                  <w:hideMark/>
                </w:tcPr>
                <w:p w14:paraId="66E10E08" w14:textId="4F68E7EA" w:rsidR="008B00CC" w:rsidRDefault="00DD26AA" w:rsidP="008029ED">
                  <w:pPr>
                    <w:spacing w:before="120" w:after="120"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Compte tenu de l’utilité sociale</w:t>
                  </w:r>
                  <w:r w:rsidRPr="00E72CA1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du</w:t>
                  </w:r>
                  <w:r w:rsidRPr="00E72CA1">
                    <w:rPr>
                      <w:rFonts w:ascii="Arial" w:hAnsi="Arial" w:cs="Arial"/>
                    </w:rPr>
                    <w:t xml:space="preserve"> crédit d'impôt accordé pour les dépenses </w:t>
                  </w:r>
                  <w:r w:rsidR="008B00CC">
                    <w:rPr>
                      <w:rFonts w:ascii="Arial" w:hAnsi="Arial" w:cs="Arial"/>
                    </w:rPr>
                    <w:t xml:space="preserve">en faveur des services à la personne, </w:t>
                  </w:r>
                  <w:r w:rsidR="003172A8">
                    <w:rPr>
                      <w:rFonts w:ascii="Arial" w:hAnsi="Arial" w:cs="Arial"/>
                    </w:rPr>
                    <w:t xml:space="preserve">soutien important aux </w:t>
                  </w:r>
                  <w:r w:rsidR="008B00CC">
                    <w:rPr>
                      <w:rFonts w:ascii="Arial" w:hAnsi="Arial" w:cs="Arial"/>
                    </w:rPr>
                    <w:t xml:space="preserve">foyers comptant une personne en situation de handicap, le Gouvernement </w:t>
                  </w:r>
                  <w:r w:rsidR="003172A8">
                    <w:rPr>
                      <w:rFonts w:ascii="Arial" w:hAnsi="Arial" w:cs="Arial"/>
                    </w:rPr>
                    <w:t>maintient</w:t>
                  </w:r>
                  <w:r w:rsidR="008B00CC">
                    <w:rPr>
                      <w:rFonts w:ascii="Arial" w:hAnsi="Arial" w:cs="Arial"/>
                    </w:rPr>
                    <w:t xml:space="preserve"> l’éligibilité des dépenses engagées au titres des services à la personne </w:t>
                  </w:r>
                  <w:r w:rsidR="008B00CC" w:rsidRPr="003172A8">
                    <w:rPr>
                      <w:rFonts w:ascii="Arial" w:hAnsi="Arial" w:cs="Arial"/>
                      <w:b/>
                    </w:rPr>
                    <w:t>réalisés pour partie en dehors du domicile</w:t>
                  </w:r>
                  <w:r w:rsidR="008B00CC">
                    <w:rPr>
                      <w:rFonts w:ascii="Arial" w:hAnsi="Arial" w:cs="Arial"/>
                    </w:rPr>
                    <w:t xml:space="preserve">, sous réserve qu’ils soient compris dans une offre globale de services. </w:t>
                  </w:r>
                </w:p>
                <w:p w14:paraId="4075028C" w14:textId="5765DA30" w:rsidR="00DD26AA" w:rsidRDefault="003172A8" w:rsidP="00DD26AA">
                  <w:pPr>
                    <w:spacing w:before="120" w:after="120"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Les dépenses de trajet et d’accompagnement</w:t>
                  </w:r>
                  <w:r w:rsidR="008B00C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depuis ou à destination du domicile, pour accompagner la personne dans </w:t>
                  </w:r>
                  <w:r w:rsidR="00176159">
                    <w:rPr>
                      <w:rFonts w:ascii="Arial" w:hAnsi="Arial" w:cs="Arial"/>
                    </w:rPr>
                    <w:t>ses déplacements</w:t>
                  </w:r>
                  <w:r>
                    <w:rPr>
                      <w:rFonts w:ascii="Arial" w:hAnsi="Arial" w:cs="Arial"/>
                    </w:rPr>
                    <w:t xml:space="preserve"> ou assurer les trajets des enfants vers l’école ou les activités périscolaires</w:t>
                  </w:r>
                  <w:r w:rsidR="00176159">
                    <w:rPr>
                      <w:rFonts w:ascii="Arial" w:hAnsi="Arial" w:cs="Arial"/>
                    </w:rPr>
                    <w:t xml:space="preserve"> par exemple</w:t>
                  </w:r>
                  <w:r>
                    <w:rPr>
                      <w:rFonts w:ascii="Arial" w:hAnsi="Arial" w:cs="Arial"/>
                    </w:rPr>
                    <w:t xml:space="preserve">, continueront à être prises en compte. </w:t>
                  </w:r>
                </w:p>
                <w:p w14:paraId="3BE97DA3" w14:textId="77777777" w:rsidR="00AB1BC8" w:rsidRDefault="00E72CA1" w:rsidP="008B00CC">
                  <w:pPr>
                    <w:spacing w:before="120" w:after="120"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Ce</w:t>
                  </w:r>
                  <w:r w:rsidR="00DD26AA">
                    <w:rPr>
                      <w:rFonts w:ascii="Arial" w:hAnsi="Arial" w:cs="Arial"/>
                    </w:rPr>
                    <w:t>tte mesure</w:t>
                  </w:r>
                  <w:r w:rsidR="00DD26AA">
                    <w:t xml:space="preserve"> </w:t>
                  </w:r>
                  <w:r w:rsidR="00DD26AA" w:rsidRPr="00DD26AA">
                    <w:rPr>
                      <w:rFonts w:ascii="Arial" w:hAnsi="Arial" w:cs="Arial"/>
                    </w:rPr>
                    <w:t xml:space="preserve">participe </w:t>
                  </w:r>
                  <w:r w:rsidR="008B00CC">
                    <w:rPr>
                      <w:rFonts w:ascii="Arial" w:hAnsi="Arial" w:cs="Arial"/>
                    </w:rPr>
                    <w:t>à l’accompagnement et au soutien de l’autonomie</w:t>
                  </w:r>
                  <w:r w:rsidR="00DD26AA" w:rsidRPr="00DD26AA">
                    <w:rPr>
                      <w:rFonts w:ascii="Arial" w:hAnsi="Arial" w:cs="Arial"/>
                    </w:rPr>
                    <w:t xml:space="preserve"> des personnes en situation de handicap </w:t>
                  </w:r>
                  <w:r w:rsidR="003172A8">
                    <w:rPr>
                      <w:rFonts w:ascii="Arial" w:hAnsi="Arial" w:cs="Arial"/>
                    </w:rPr>
                    <w:t>en leur permettant de bénéficier d’un crédit d’impôt de 50% sur ces dépenses, dans la limite annuelle de 12 000€</w:t>
                  </w:r>
                  <w:r w:rsidR="00176159">
                    <w:rPr>
                      <w:rFonts w:ascii="Arial" w:hAnsi="Arial" w:cs="Arial"/>
                    </w:rPr>
                    <w:t>, majorée à 20 000€ en cas d’invalidité</w:t>
                  </w:r>
                  <w:r w:rsidR="003172A8">
                    <w:rPr>
                      <w:rFonts w:ascii="Arial" w:hAnsi="Arial" w:cs="Arial"/>
                    </w:rPr>
                    <w:t>.</w:t>
                  </w:r>
                </w:p>
                <w:p w14:paraId="7A8EADD9" w14:textId="3097458D" w:rsidR="00E72CA1" w:rsidRPr="00DD26AA" w:rsidRDefault="00AB1BC8" w:rsidP="008B00CC">
                  <w:pPr>
                    <w:spacing w:before="120" w:after="120"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La déclaration fiscale sur les revenus de l’année 2020 sera donc réalisée selon les mêmes règles que les années précédentes et le Gouvernement</w:t>
                  </w:r>
                  <w:r>
                    <w:t xml:space="preserve"> </w:t>
                  </w:r>
                  <w:r w:rsidRPr="008B00CC">
                    <w:rPr>
                      <w:rFonts w:ascii="Arial" w:hAnsi="Arial" w:cs="Arial"/>
                    </w:rPr>
                    <w:t xml:space="preserve">proposera au Parlement, si nécessaire, des aménagements ultérieurs aux textes en vigueur afin de conforter la sécurité juridique des contribuables </w:t>
                  </w:r>
                  <w:r>
                    <w:rPr>
                      <w:rFonts w:ascii="Arial" w:hAnsi="Arial" w:cs="Arial"/>
                    </w:rPr>
                    <w:t>après la décision d’annulation du Conseil d’Etat du 30 novembre 2020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="003172A8">
                    <w:rPr>
                      <w:rFonts w:ascii="Arial" w:hAnsi="Arial" w:cs="Arial"/>
                    </w:rPr>
                    <w:t xml:space="preserve"> </w:t>
                  </w:r>
                </w:p>
                <w:p w14:paraId="0FB1561C" w14:textId="38293233" w:rsidR="008029ED" w:rsidRPr="008029ED" w:rsidRDefault="008029ED" w:rsidP="008029ED">
                  <w:pPr>
                    <w:spacing w:before="120" w:after="120" w:line="276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3C08709D" w14:textId="5FDDD28C" w:rsidR="008029ED" w:rsidRPr="008029ED" w:rsidRDefault="008029ED" w:rsidP="008B00CC">
                  <w:pPr>
                    <w:rPr>
                      <w:rFonts w:ascii="Arial" w:hAnsi="Arial" w:cs="Arial"/>
                      <w:color w:val="000000"/>
                    </w:rPr>
                  </w:pPr>
                  <w:r w:rsidRPr="008029ED">
                    <w:rPr>
                      <w:rFonts w:ascii="Arial" w:hAnsi="Arial" w:cs="Arial"/>
                      <w:sz w:val="22"/>
                      <w:szCs w:val="22"/>
                    </w:rPr>
                    <w:t>Contact presse Secrétariat d’Etat chargé des Personnes handicapées :</w:t>
                  </w:r>
                  <w:r w:rsidRPr="008029E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8029ED"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  <w:hyperlink r:id="rId9" w:history="1">
                    <w:r w:rsidRPr="008029ED">
                      <w:rPr>
                        <w:rStyle w:val="Lienhypertexte"/>
                        <w:rFonts w:ascii="Arial" w:hAnsi="Arial" w:cs="Arial"/>
                        <w:b/>
                        <w:sz w:val="22"/>
                        <w:szCs w:val="22"/>
                      </w:rPr>
                      <w:t>seph.communication@pm.gouv.fr</w:t>
                    </w:r>
                  </w:hyperlink>
                </w:p>
              </w:tc>
            </w:tr>
            <w:tr w:rsidR="008029ED" w:rsidRPr="008029ED" w14:paraId="5F467613" w14:textId="77777777" w:rsidTr="00E86F04">
              <w:tc>
                <w:tcPr>
                  <w:tcW w:w="5000" w:type="pct"/>
                  <w:vAlign w:val="center"/>
                </w:tcPr>
                <w:p w14:paraId="4A349BB6" w14:textId="62EB4030" w:rsidR="008029ED" w:rsidRPr="008029ED" w:rsidRDefault="008029ED" w:rsidP="008029ED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</w:tr>
          </w:tbl>
          <w:p w14:paraId="2D2C9264" w14:textId="77777777" w:rsidR="008029ED" w:rsidRPr="008029ED" w:rsidRDefault="008029ED" w:rsidP="00E86F04">
            <w:pPr>
              <w:rPr>
                <w:rFonts w:ascii="Arial" w:eastAsia="Times New Roman" w:hAnsi="Arial" w:cs="Arial"/>
              </w:rPr>
            </w:pPr>
          </w:p>
        </w:tc>
      </w:tr>
    </w:tbl>
    <w:p w14:paraId="74301325" w14:textId="674F99C2" w:rsidR="00743737" w:rsidRPr="008029ED" w:rsidRDefault="00743737" w:rsidP="008029ED">
      <w:pPr>
        <w:rPr>
          <w:rFonts w:ascii="Arial" w:hAnsi="Arial" w:cs="Arial"/>
        </w:rPr>
      </w:pPr>
    </w:p>
    <w:sectPr w:rsidR="00743737" w:rsidRPr="008029ED" w:rsidSect="00795000">
      <w:footerReference w:type="default" r:id="rId10"/>
      <w:pgSz w:w="11900" w:h="16840"/>
      <w:pgMar w:top="1418" w:right="84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D81D3" w14:textId="77777777" w:rsidR="00F33FDB" w:rsidRDefault="00F33FDB" w:rsidP="00F33FDB">
      <w:r>
        <w:separator/>
      </w:r>
    </w:p>
  </w:endnote>
  <w:endnote w:type="continuationSeparator" w:id="0">
    <w:p w14:paraId="6C80D257" w14:textId="77777777" w:rsidR="00F33FDB" w:rsidRDefault="00F33FDB" w:rsidP="00F3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0BC14" w14:textId="7600BCBF" w:rsidR="00F33FDB" w:rsidRDefault="00F33FD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55F110" wp14:editId="7D3EAE39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ab854f6c821123e569cd1e29" descr="{&quot;HashCode&quot;:96797310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80CFE9" w14:textId="278CC0BD" w:rsidR="00F33FDB" w:rsidRPr="00F33FDB" w:rsidRDefault="00F33FDB" w:rsidP="00F33FDB">
                          <w:pPr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5F110" id="_x0000_t202" coordsize="21600,21600" o:spt="202" path="m,l,21600r21600,l21600,xe">
              <v:stroke joinstyle="miter"/>
              <v:path gradientshapeok="t" o:connecttype="rect"/>
            </v:shapetype>
            <v:shape id="MSIPCMab854f6c821123e569cd1e29" o:spid="_x0000_s1026" type="#_x0000_t202" alt="{&quot;HashCode&quot;:967973103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" o:allowincell="f" filled="f" stroked="f" strokeweight=".5pt">
              <v:textbox inset="20pt,0,,0">
                <w:txbxContent>
                  <w:p w14:paraId="6780CFE9" w14:textId="278CC0BD" w:rsidR="00F33FDB" w:rsidRPr="00F33FDB" w:rsidRDefault="00F33FDB" w:rsidP="00F33FDB">
                    <w:pPr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5DB84" w14:textId="77777777" w:rsidR="00F33FDB" w:rsidRDefault="00F33FDB" w:rsidP="00F33FDB">
      <w:r>
        <w:separator/>
      </w:r>
    </w:p>
  </w:footnote>
  <w:footnote w:type="continuationSeparator" w:id="0">
    <w:p w14:paraId="5BF18044" w14:textId="77777777" w:rsidR="00F33FDB" w:rsidRDefault="00F33FDB" w:rsidP="00F3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64C9"/>
    <w:multiLevelType w:val="hybridMultilevel"/>
    <w:tmpl w:val="9C841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777D2"/>
    <w:multiLevelType w:val="hybridMultilevel"/>
    <w:tmpl w:val="3AFC5176"/>
    <w:lvl w:ilvl="0" w:tplc="DF60F59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04CEC"/>
    <w:multiLevelType w:val="hybridMultilevel"/>
    <w:tmpl w:val="75DCD872"/>
    <w:lvl w:ilvl="0" w:tplc="F5ECE5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C354C"/>
    <w:multiLevelType w:val="hybridMultilevel"/>
    <w:tmpl w:val="9E884CF8"/>
    <w:lvl w:ilvl="0" w:tplc="6902E4BC">
      <w:start w:val="9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64B8E"/>
    <w:multiLevelType w:val="hybridMultilevel"/>
    <w:tmpl w:val="AB7AE1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37"/>
    <w:rsid w:val="0003132B"/>
    <w:rsid w:val="000341AE"/>
    <w:rsid w:val="00044CF4"/>
    <w:rsid w:val="00063996"/>
    <w:rsid w:val="000650C6"/>
    <w:rsid w:val="00075DA0"/>
    <w:rsid w:val="000824FD"/>
    <w:rsid w:val="000A6CD5"/>
    <w:rsid w:val="000C5F3E"/>
    <w:rsid w:val="000D6FAC"/>
    <w:rsid w:val="0010457C"/>
    <w:rsid w:val="0013428D"/>
    <w:rsid w:val="00176159"/>
    <w:rsid w:val="00196AF3"/>
    <w:rsid w:val="001A441C"/>
    <w:rsid w:val="00297732"/>
    <w:rsid w:val="002D0D87"/>
    <w:rsid w:val="002F72A6"/>
    <w:rsid w:val="00315596"/>
    <w:rsid w:val="003172A8"/>
    <w:rsid w:val="003341E6"/>
    <w:rsid w:val="00380140"/>
    <w:rsid w:val="003C4701"/>
    <w:rsid w:val="003E1120"/>
    <w:rsid w:val="003F55A1"/>
    <w:rsid w:val="00424C6D"/>
    <w:rsid w:val="00431598"/>
    <w:rsid w:val="0044524E"/>
    <w:rsid w:val="00457E72"/>
    <w:rsid w:val="00483D1E"/>
    <w:rsid w:val="004D1EB0"/>
    <w:rsid w:val="004E53FF"/>
    <w:rsid w:val="005306C8"/>
    <w:rsid w:val="005529A0"/>
    <w:rsid w:val="00571DC1"/>
    <w:rsid w:val="005B199E"/>
    <w:rsid w:val="005C0FE7"/>
    <w:rsid w:val="005E3BEC"/>
    <w:rsid w:val="00631570"/>
    <w:rsid w:val="00686EF2"/>
    <w:rsid w:val="006D73F1"/>
    <w:rsid w:val="006F34BE"/>
    <w:rsid w:val="007052E1"/>
    <w:rsid w:val="00743737"/>
    <w:rsid w:val="00754A08"/>
    <w:rsid w:val="007630A0"/>
    <w:rsid w:val="00795000"/>
    <w:rsid w:val="007958B9"/>
    <w:rsid w:val="007B25E2"/>
    <w:rsid w:val="008029ED"/>
    <w:rsid w:val="0080675D"/>
    <w:rsid w:val="00811ADD"/>
    <w:rsid w:val="00882C6E"/>
    <w:rsid w:val="00883C91"/>
    <w:rsid w:val="00897EAB"/>
    <w:rsid w:val="008B00CC"/>
    <w:rsid w:val="009204C3"/>
    <w:rsid w:val="009401A3"/>
    <w:rsid w:val="00A428A1"/>
    <w:rsid w:val="00A8465F"/>
    <w:rsid w:val="00AA6903"/>
    <w:rsid w:val="00AB1BC8"/>
    <w:rsid w:val="00AD363D"/>
    <w:rsid w:val="00AE5402"/>
    <w:rsid w:val="00B27012"/>
    <w:rsid w:val="00B27B77"/>
    <w:rsid w:val="00B30089"/>
    <w:rsid w:val="00B44824"/>
    <w:rsid w:val="00BD27E3"/>
    <w:rsid w:val="00BE457B"/>
    <w:rsid w:val="00C04885"/>
    <w:rsid w:val="00C237AB"/>
    <w:rsid w:val="00C3015F"/>
    <w:rsid w:val="00C507DF"/>
    <w:rsid w:val="00C85A40"/>
    <w:rsid w:val="00C87C06"/>
    <w:rsid w:val="00C92290"/>
    <w:rsid w:val="00D43AAD"/>
    <w:rsid w:val="00D539CA"/>
    <w:rsid w:val="00D7486F"/>
    <w:rsid w:val="00D76455"/>
    <w:rsid w:val="00D85293"/>
    <w:rsid w:val="00DA5A39"/>
    <w:rsid w:val="00DB11DA"/>
    <w:rsid w:val="00DC7896"/>
    <w:rsid w:val="00DD1B6E"/>
    <w:rsid w:val="00DD26AA"/>
    <w:rsid w:val="00E00349"/>
    <w:rsid w:val="00E12D53"/>
    <w:rsid w:val="00E6350D"/>
    <w:rsid w:val="00E6506B"/>
    <w:rsid w:val="00E72CA1"/>
    <w:rsid w:val="00EC722A"/>
    <w:rsid w:val="00ED41F5"/>
    <w:rsid w:val="00F33FDB"/>
    <w:rsid w:val="00F43B68"/>
    <w:rsid w:val="00F50EB2"/>
    <w:rsid w:val="00F541A4"/>
    <w:rsid w:val="00FA6FA1"/>
    <w:rsid w:val="00FB0DF6"/>
    <w:rsid w:val="00FE39FD"/>
    <w:rsid w:val="00FF4ACC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121CA5CD"/>
  <w14:defaultImageDpi w14:val="300"/>
  <w15:docId w15:val="{04394856-7D23-4972-B2FE-C028E96E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373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743737"/>
    <w:rPr>
      <w:b/>
      <w:bCs/>
    </w:rPr>
  </w:style>
  <w:style w:type="paragraph" w:customStyle="1" w:styleId="yiv1840748461msonormal">
    <w:name w:val="yiv1840748461msonormal"/>
    <w:basedOn w:val="Normal"/>
    <w:rsid w:val="0074373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yiv1840748461msobodytext">
    <w:name w:val="yiv1840748461msobodytext"/>
    <w:basedOn w:val="Normal"/>
    <w:rsid w:val="0074373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50EB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33F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3FDB"/>
  </w:style>
  <w:style w:type="paragraph" w:styleId="Pieddepage">
    <w:name w:val="footer"/>
    <w:basedOn w:val="Normal"/>
    <w:link w:val="PieddepageCar"/>
    <w:uiPriority w:val="99"/>
    <w:unhideWhenUsed/>
    <w:rsid w:val="00F33F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3FDB"/>
  </w:style>
  <w:style w:type="character" w:styleId="Marquedecommentaire">
    <w:name w:val="annotation reference"/>
    <w:basedOn w:val="Policepardfaut"/>
    <w:uiPriority w:val="99"/>
    <w:semiHidden/>
    <w:unhideWhenUsed/>
    <w:rsid w:val="004E53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53F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53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53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53F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53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3F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31570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3155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CAAD0-699D-4A3F-9E3C-1D724E79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Dekerle</dc:creator>
  <cp:keywords/>
  <dc:description/>
  <cp:lastModifiedBy>LUNIAK Izabela</cp:lastModifiedBy>
  <cp:revision>4</cp:revision>
  <cp:lastPrinted>2020-12-23T14:17:00Z</cp:lastPrinted>
  <dcterms:created xsi:type="dcterms:W3CDTF">2021-02-15T16:29:00Z</dcterms:created>
  <dcterms:modified xsi:type="dcterms:W3CDTF">2021-02-15T16:31:00Z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87ec98-8aff-418c-9455-dc857e1ea7dc_Enabled">
    <vt:lpwstr>true</vt:lpwstr>
  </property>
  <property fmtid="{D5CDD505-2E9C-101B-9397-08002B2CF9AE}" pid="3" name="MSIP_Label_1387ec98-8aff-418c-9455-dc857e1ea7dc_SetDate">
    <vt:lpwstr>2020-08-24T16:03:49Z</vt:lpwstr>
  </property>
  <property fmtid="{D5CDD505-2E9C-101B-9397-08002B2CF9AE}" pid="4" name="MSIP_Label_1387ec98-8aff-418c-9455-dc857e1ea7dc_Method">
    <vt:lpwstr>Standard</vt:lpwstr>
  </property>
  <property fmtid="{D5CDD505-2E9C-101B-9397-08002B2CF9AE}" pid="5" name="MSIP_Label_1387ec98-8aff-418c-9455-dc857e1ea7dc_Name">
    <vt:lpwstr>1387ec98-8aff-418c-9455-dc857e1ea7dc</vt:lpwstr>
  </property>
  <property fmtid="{D5CDD505-2E9C-101B-9397-08002B2CF9AE}" pid="6" name="MSIP_Label_1387ec98-8aff-418c-9455-dc857e1ea7dc_SiteId">
    <vt:lpwstr>6eab6365-8194-49c6-a4d0-e2d1a0fbeb74</vt:lpwstr>
  </property>
  <property fmtid="{D5CDD505-2E9C-101B-9397-08002B2CF9AE}" pid="7" name="MSIP_Label_1387ec98-8aff-418c-9455-dc857e1ea7dc_ActionId">
    <vt:lpwstr>7bd44cc5-738f-461d-a8c0-00004815a31a</vt:lpwstr>
  </property>
  <property fmtid="{D5CDD505-2E9C-101B-9397-08002B2CF9AE}" pid="8" name="MSIP_Label_1387ec98-8aff-418c-9455-dc857e1ea7dc_ContentBits">
    <vt:lpwstr>2</vt:lpwstr>
  </property>
</Properties>
</file>