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43737" w:rsidRPr="00BE457B" w14:paraId="12878618" w14:textId="77777777" w:rsidTr="00743737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9496"/>
            </w:tblGrid>
            <w:tr w:rsidR="00743737" w:rsidRPr="00BE457B" w14:paraId="38A1298F" w14:textId="7777777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499B2DF" w14:textId="77777777" w:rsidR="00743737" w:rsidRPr="00BE457B" w:rsidRDefault="00743737" w:rsidP="00743737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p w14:paraId="225A8C89" w14:textId="5A484345" w:rsidR="00196AF3" w:rsidRPr="00BE457B" w:rsidRDefault="00BE457B">
                  <w:r w:rsidRPr="00BE457B">
                    <w:rPr>
                      <w:b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14988BB" wp14:editId="5A2FF20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-438150</wp:posOffset>
                        </wp:positionV>
                        <wp:extent cx="2447925" cy="1228725"/>
                        <wp:effectExtent l="0" t="0" r="9525" b="9525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E_Personnes_Handicapees_RVB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925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4BCFACF" w14:textId="40EEB77B" w:rsidR="00BE457B" w:rsidRPr="00BE457B" w:rsidRDefault="00BE457B"/>
                <w:p w14:paraId="2101D32F" w14:textId="5E0F8252" w:rsidR="00BE457B" w:rsidRPr="00BE457B" w:rsidRDefault="00BE457B"/>
                <w:p w14:paraId="1407723D" w14:textId="77777777" w:rsidR="00BE457B" w:rsidRPr="00BE457B" w:rsidRDefault="00BE457B"/>
                <w:p w14:paraId="2F9D2CAD" w14:textId="3BC7AB03" w:rsidR="00196AF3" w:rsidRPr="00BE457B" w:rsidRDefault="00196AF3"/>
                <w:p w14:paraId="75F85479" w14:textId="341F72FF" w:rsidR="00196AF3" w:rsidRPr="006F34BE" w:rsidRDefault="006F34BE">
                  <w:pPr>
                    <w:ind w:left="6654"/>
                    <w:rPr>
                      <w:rFonts w:asciiTheme="majorHAnsi" w:hAnsiTheme="majorHAnsi" w:cstheme="majorHAnsi"/>
                    </w:rPr>
                  </w:pPr>
                  <w:r w:rsidRPr="006F34BE">
                    <w:rPr>
                      <w:rFonts w:asciiTheme="majorHAnsi" w:hAnsiTheme="majorHAnsi" w:cstheme="majorHAnsi"/>
                    </w:rPr>
                    <w:t>Paris, le 26 août 2020</w:t>
                  </w:r>
                </w:p>
                <w:p w14:paraId="0D2813B0" w14:textId="77777777" w:rsidR="00BE457B" w:rsidRPr="006F34BE" w:rsidRDefault="00BE457B">
                  <w:pPr>
                    <w:rPr>
                      <w:rFonts w:asciiTheme="majorHAnsi" w:hAnsiTheme="majorHAnsi" w:cstheme="majorHAnsi"/>
                    </w:rPr>
                  </w:pPr>
                </w:p>
                <w:p w14:paraId="7BF04565" w14:textId="4BA32AD4" w:rsidR="00196AF3" w:rsidRPr="00BE457B" w:rsidRDefault="00196AF3"/>
                <w:p w14:paraId="7749955C" w14:textId="77777777" w:rsidR="00BE457B" w:rsidRPr="00BE457B" w:rsidRDefault="00BE457B"/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6"/>
                  </w:tblGrid>
                  <w:tr w:rsidR="00743737" w:rsidRPr="00BE457B" w14:paraId="6334F1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978596" w14:textId="6E0CCB25" w:rsidR="00196AF3" w:rsidRPr="00BE457B" w:rsidRDefault="00196AF3" w:rsidP="00196AF3">
                        <w:pPr>
                          <w:jc w:val="center"/>
                        </w:pPr>
                        <w:r w:rsidRPr="00BE457B">
                          <w:rPr>
                            <w:rStyle w:val="lev"/>
                            <w:rFonts w:ascii="Arial" w:hAnsi="Arial" w:cs="Arial"/>
                            <w:color w:val="000000"/>
                          </w:rPr>
                          <w:t>COMMUNIQU</w:t>
                        </w:r>
                        <w:r w:rsidR="006F34BE">
                          <w:rPr>
                            <w:rStyle w:val="lev"/>
                            <w:rFonts w:ascii="Arial" w:hAnsi="Arial" w:cs="Arial"/>
                            <w:color w:val="000000"/>
                          </w:rPr>
                          <w:t>É</w:t>
                        </w:r>
                        <w:r w:rsidRPr="00BE457B">
                          <w:rPr>
                            <w:rStyle w:val="lev"/>
                            <w:rFonts w:ascii="Arial" w:hAnsi="Arial" w:cs="Arial"/>
                            <w:color w:val="000000"/>
                          </w:rPr>
                          <w:t xml:space="preserve"> DE PRESSE</w:t>
                        </w:r>
                      </w:p>
                      <w:p w14:paraId="34D78394" w14:textId="77777777" w:rsidR="00196AF3" w:rsidRPr="00BE457B" w:rsidRDefault="00196AF3"/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96"/>
                        </w:tblGrid>
                        <w:tr w:rsidR="00743737" w:rsidRPr="00BE457B" w14:paraId="1BCC376C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796BBA50" w14:textId="77777777" w:rsidR="00196AF3" w:rsidRPr="00BE457B" w:rsidRDefault="00196AF3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96"/>
                              </w:tblGrid>
                              <w:tr w:rsidR="00743737" w:rsidRPr="00BE457B" w14:paraId="03726F7C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22AC78DF" w14:textId="64DB2D48" w:rsidR="00196AF3" w:rsidRPr="00BE457B" w:rsidRDefault="006F34BE" w:rsidP="006F34BE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ind w:left="680" w:right="68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iCs/>
                                      </w:rPr>
                                      <w:br/>
                                    </w:r>
                                    <w:r w:rsidR="00196AF3" w:rsidRPr="00BE457B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iCs/>
                                      </w:rPr>
                                      <w:t>PLAN DE RELANCE</w:t>
                                    </w:r>
                                  </w:p>
                                  <w:p w14:paraId="4DA5BA75" w14:textId="77777777" w:rsidR="00196AF3" w:rsidRPr="00BE457B" w:rsidRDefault="00196AF3" w:rsidP="006F34BE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ind w:left="680" w:right="68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iCs/>
                                      </w:rPr>
                                    </w:pPr>
                                    <w:r w:rsidRPr="00BE457B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iCs/>
                                      </w:rPr>
                                      <w:t>100 MILLIONS D’EUROS MOBILISES</w:t>
                                    </w:r>
                                  </w:p>
                                  <w:p w14:paraId="7A1F212A" w14:textId="47651619" w:rsidR="0044524E" w:rsidRPr="00BE457B" w:rsidRDefault="00196AF3" w:rsidP="006F34BE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ind w:left="680" w:right="680"/>
                                      <w:jc w:val="cente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 w:rsidRPr="00BE457B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iCs/>
                                      </w:rPr>
                                      <w:t>POUR SOUTENIR L’EMPLOI DES PERSONNES EN SITUATION DE HANDICAP</w:t>
                                    </w:r>
                                    <w:r w:rsidR="006F34BE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iCs/>
                                      </w:rPr>
                                      <w:br/>
                                    </w:r>
                                  </w:p>
                                  <w:tbl>
                                    <w:tblPr>
                                      <w:tblpPr w:leftFromText="60" w:rightFromText="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6"/>
                                    </w:tblGrid>
                                    <w:tr w:rsidR="00743737" w:rsidRPr="00BE457B" w14:paraId="5B52CE7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8218CAB" w14:textId="5EDDF661" w:rsidR="0044524E" w:rsidRPr="00BE457B" w:rsidRDefault="0044524E">
                                          <w:pP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</w:p>
                                        <w:p w14:paraId="0441D2FD" w14:textId="77777777" w:rsidR="00BE457B" w:rsidRPr="00BE457B" w:rsidRDefault="00BE457B">
                                          <w:pP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60" w:rightFromText="6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96"/>
                                          </w:tblGrid>
                                          <w:tr w:rsidR="00743737" w:rsidRPr="00BE457B" w14:paraId="4C512694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76FE1D0" w14:textId="383078B1" w:rsidR="00743737" w:rsidRPr="00BE457B" w:rsidRDefault="00743737" w:rsidP="00743737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Jean C</w:t>
                                                </w:r>
                                                <w:r w:rsidR="0029773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ASTEX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, Premier Ministre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, </w:t>
                                                </w:r>
                                                <w:r w:rsidR="009204C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avec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Sophie CLUZEL, secrétaire d’État</w:t>
                                                </w:r>
                                                <w:r w:rsidR="00424C6D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auprès du Premier </w:t>
                                                </w:r>
                                                <w:r w:rsidR="009204C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Ministre en charge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des </w:t>
                                                </w:r>
                                                <w:r w:rsidR="009204C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Personnes H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andicapées,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ont 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annonc</w:t>
                                                </w:r>
                                                <w:r w:rsidR="0029773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é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en clôture des </w:t>
                                                </w:r>
                                                <w:r w:rsidR="004E53FF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</w:rPr>
                                                  <w:t>premières universités</w:t>
                                                </w:r>
                                                <w:r w:rsidR="00754A08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</w:rPr>
                                                  <w:t xml:space="preserve"> </w:t>
                                                </w:r>
                                                <w:r w:rsidR="00754A08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d’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été du CNCPH (Conseil National Consultatif des Personnes Handicapées)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la création d’une 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aide exceptionnelle pour favoriser le recrutement d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es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personnes en situation de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handicap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7958B9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par les entreprises privées. 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Cette mesure s’inscrit dans le plan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global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de relance et vise à limiter l’impact que la crise sanitaire pourrait avoir 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sur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les recrutements et le maintien des postes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14:paraId="3E8B4153" w14:textId="74D7A4C6" w:rsidR="00EC722A" w:rsidRPr="00BE457B" w:rsidRDefault="00686EF2" w:rsidP="00743737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Les mesures engagées depuis 2017 ont permis des progrès significatifs pour rendre les entreprises davantage inclusives et </w:t>
                                                </w:r>
                                                <w:r w:rsidR="00044CF4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réduire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le taux de chômage des travailleurs handicapés près de deux fois supérieur à la population active.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Alors que le nombre de salariés handicapés au chômage était descendu sous la barre symbolique des 500 000 personnes avant la crise,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a</w:t>
                                                </w:r>
                                                <w:r w:rsidR="007B25E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méliorer les conditions de vie des personnes </w:t>
                                                </w:r>
                                                <w:r w:rsidR="00AA690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en situation de handicap </w:t>
                                                </w:r>
                                                <w:r w:rsidR="007B25E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et favoriser notamment leur </w:t>
                                                </w:r>
                                                <w:r w:rsidR="00743737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accès à l’</w:t>
                                                </w:r>
                                                <w:r w:rsidR="007B25E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emploi </w:t>
                                                </w:r>
                                                <w:r w:rsidR="00044CF4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est</w:t>
                                                </w:r>
                                                <w:r w:rsidR="00883C91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 au </w:t>
                                                </w:r>
                                                <w:r w:rsidR="00380140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cœur</w:t>
                                                </w:r>
                                                <w:r w:rsidR="00883C91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 des politiques publiques.</w:t>
                                                </w:r>
                                              </w:p>
                                              <w:p w14:paraId="2346901D" w14:textId="0E734653" w:rsidR="0003132B" w:rsidRPr="00BE457B" w:rsidRDefault="0003132B" w:rsidP="0003132B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 xml:space="preserve">Selon Sophie Cluzel, « que les personnes en situation de handicap bénéficient du plan de relance témoigne de la volonté sans cesse renouvelée d’inscrire le handicap 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>comme un des objectifs</w:t>
                                                </w:r>
                                                <w:r w:rsidR="00883C91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 xml:space="preserve"> prioritaires</w:t>
                                                </w:r>
                                                <w:r w:rsidR="00380140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 xml:space="preserve"> du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 xml:space="preserve"> quinquennat.</w:t>
                                                </w:r>
                                                <w:r w:rsidR="000C5F3E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> »</w:t>
                                                </w:r>
                                              </w:p>
                                              <w:p w14:paraId="32D80F10" w14:textId="252AD05E" w:rsidR="00882C6E" w:rsidRDefault="007B25E2" w:rsidP="00743737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La crise sanitaire ne doit pas venir freiner cette dynamiq</w:t>
                                                </w:r>
                                                <w:r w:rsidR="00EC722A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ue positive ; dans le cadre du P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lan de relance</w:t>
                                                </w:r>
                                                <w:r w:rsidR="00743737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883C91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l</w:t>
                                                </w:r>
                                                <w:r w:rsidR="00743737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e Gouvernement a décidé</w:t>
                                                </w:r>
                                                <w:r w:rsidR="00D76455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,</w:t>
                                                </w:r>
                                                <w:r w:rsidR="00743737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sur le </w:t>
                                                </w:r>
                                                <w:r w:rsidR="00D76455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même 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modèle </w:t>
                                                </w:r>
                                                <w:r w:rsidR="00EC722A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que celui de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l’aide au recrutement des moins de 26 ans, </w:t>
                                                </w:r>
                                                <w:r w:rsidR="000824FD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de dynamiser l’emploi d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es </w:t>
                                                </w:r>
                                                <w:r w:rsidR="000824FD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personnes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380140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en situation de handicap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,</w:t>
                                                </w:r>
                                                <w:r w:rsidR="00044CF4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et ce sans limite d’âge,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A8465F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exposés également fortement</w:t>
                                                </w:r>
                                                <w:r w:rsidR="00F50EB2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A8465F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aux alé</w:t>
                                                </w:r>
                                                <w:r w:rsidR="007958B9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a</w:t>
                                                </w:r>
                                                <w:r w:rsidR="00A8465F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s du marché de l’emploi dans ce </w:t>
                                                </w:r>
                                                <w:r w:rsidR="00EC722A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contexte inédit à trav</w:t>
                                                </w:r>
                                                <w:r w:rsidR="00A428A1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ers une aide exceptionnelle de 10</w:t>
                                                </w:r>
                                                <w:r w:rsidR="00EC722A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0 millions d’euros</w:t>
                                                </w:r>
                                                <w:r w:rsidR="00A8465F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390C5C1C" w14:textId="77777777" w:rsidR="006F34BE" w:rsidRPr="00BE457B" w:rsidRDefault="006F34BE" w:rsidP="00743737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25C6B294" w14:textId="1D1DC1B2" w:rsidR="00743737" w:rsidRPr="00BE457B" w:rsidRDefault="00882C6E" w:rsidP="00743737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u w:val="single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  <w:u w:val="single"/>
                                                  </w:rPr>
                                                  <w:lastRenderedPageBreak/>
                                                  <w:t>Les modalités de l’aide</w:t>
                                                </w:r>
                                                <w:r w:rsidR="00D76455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  <w:u w:val="single"/>
                                                  </w:rPr>
                                                  <w:t xml:space="preserve"> 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  <w:u w:val="single"/>
                                                  </w:rPr>
                                                  <w:t xml:space="preserve">: </w:t>
                                                </w:r>
                                              </w:p>
                                              <w:p w14:paraId="352B6E0C" w14:textId="33809C38" w:rsidR="00380140" w:rsidRPr="00BE457B" w:rsidRDefault="00743737" w:rsidP="00AD363D">
                                                <w:pPr>
                                                  <w:spacing w:before="100" w:beforeAutospacing="1" w:after="100" w:afterAutospacing="1"/>
                                                  <w:ind w:left="993" w:hanging="273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>-</w:t>
                                                </w:r>
                                                <w:r w:rsidR="00AD363D"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ab/>
                                                </w:r>
                                                <w:r w:rsidR="009204C3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T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oute entreprise du secteur privé </w:t>
                                                </w:r>
                                                <w:r w:rsidR="00B27B77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(secteur marchand et non marchand) 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quel</w:t>
                                                </w:r>
                                                <w:r w:rsidR="004E53FF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le 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que soit </w:t>
                                                </w:r>
                                                <w:r w:rsidR="00BE457B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la structure.</w:t>
                                                </w:r>
                                              </w:p>
                                              <w:p w14:paraId="2F72C6A9" w14:textId="1BA0763A" w:rsidR="00380140" w:rsidRPr="00BE457B" w:rsidRDefault="00F50EB2" w:rsidP="00AD363D">
                                                <w:pPr>
                                                  <w:spacing w:before="100" w:beforeAutospacing="1" w:after="100" w:afterAutospacing="1"/>
                                                  <w:ind w:left="993" w:hanging="273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-</w:t>
                                                </w:r>
                                                <w:r w:rsidR="00380140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Eligibilité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B27B77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-&gt;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recrutement d’un salarié ayant la reconnaissance de travailleur handicapé, dans le cadre d’un CDI ou CDD de plus de 3 mois</w:t>
                                                </w:r>
                                                <w:r w:rsidR="00B27B77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 (plafonné à un salaire équivalent à deux smic)</w:t>
                                                </w:r>
                                              </w:p>
                                              <w:p w14:paraId="510DA15B" w14:textId="50C2C791" w:rsidR="00380140" w:rsidRPr="00BE457B" w:rsidRDefault="00E00349" w:rsidP="00AD363D">
                                                <w:pPr>
                                                  <w:spacing w:before="100" w:beforeAutospacing="1" w:after="100" w:afterAutospacing="1"/>
                                                  <w:ind w:left="993" w:hanging="273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-</w:t>
                                                </w:r>
                                                <w:r w:rsidR="00AD363D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ab/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Montant</w:t>
                                                </w:r>
                                                <w:r w:rsidR="00BE457B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B27B77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forfaitaire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 de 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000 euros 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</w:rPr>
                                                  <w:t xml:space="preserve">cumulable avec tout autre dispositif </w:t>
                                                </w:r>
                                                <w:r w:rsidR="00BE457B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dont les aides de l’Agefiph</w:t>
                                                </w:r>
                                              </w:p>
                                              <w:p w14:paraId="332C82AB" w14:textId="3D9492EA" w:rsidR="00743737" w:rsidRPr="00BE457B" w:rsidRDefault="00883C91" w:rsidP="00AD363D">
                                                <w:pPr>
                                                  <w:tabs>
                                                    <w:tab w:val="left" w:pos="993"/>
                                                  </w:tabs>
                                                  <w:spacing w:before="100" w:beforeAutospacing="1" w:after="100" w:afterAutospacing="1"/>
                                                  <w:ind w:left="720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-</w:t>
                                                </w:r>
                                                <w:r w:rsidR="00AD363D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ab/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 xml:space="preserve">Modalités </w:t>
                                                </w:r>
                                                <w:r w:rsidR="00B27B77" w:rsidRPr="00BE457B">
                                                  <w:rPr>
                                                    <w:rFonts w:asciiTheme="majorHAnsi" w:hAnsiTheme="majorHAnsi" w:cstheme="majorHAnsi"/>
                                                    <w:bCs/>
                                                    <w:color w:val="000000"/>
                                                  </w:rPr>
                                                  <w:t>de versement par trimestre.</w:t>
                                                </w:r>
                                              </w:p>
                                              <w:p w14:paraId="4D9DBAB4" w14:textId="09A50803" w:rsidR="00E00349" w:rsidRPr="00BE457B" w:rsidRDefault="00AD363D" w:rsidP="00AD363D">
                                                <w:pPr>
                                                  <w:tabs>
                                                    <w:tab w:val="left" w:pos="993"/>
                                                  </w:tabs>
                                                  <w:spacing w:before="100" w:beforeAutospacing="1" w:after="100" w:afterAutospacing="1"/>
                                                  <w:ind w:left="992" w:hanging="272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>-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ab/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ab/>
                                                </w:r>
                                                <w:r w:rsidR="00883C91"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>Périodicité -&gt;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 xml:space="preserve"> mesure applicable aux contrats </w:t>
                                                </w:r>
                                                <w:r w:rsidR="00297732"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>signés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 xml:space="preserve"> entre le 1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vertAlign w:val="superscript"/>
                                                  </w:rPr>
                                                  <w:t>er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 xml:space="preserve"> septembre 2020 et le 28 février 2021</w:t>
                                                </w:r>
                                              </w:p>
                                              <w:p w14:paraId="5ABD12BD" w14:textId="7506780D" w:rsidR="0003132B" w:rsidRPr="00BE457B" w:rsidRDefault="0003132B" w:rsidP="00AD363D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>« Sur les enjeux liés à l’emploi des personnes en situation de Handicap, l’ambition est bien de faire sauter tous les verrous qui empêchent la rencontre entre person</w:t>
                                                </w:r>
                                                <w:r w:rsidR="009204C3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>nes handicapées et employeurs. L</w:t>
                                                </w:r>
                                                <w:r w:rsidR="00044CF4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>imiter le coû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>t de l’emploi est un des leviers »</w:t>
                                                </w:r>
                                                <w:r w:rsidR="00380140" w:rsidRPr="00BE457B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</w:rPr>
                                                  <w:t>,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 xml:space="preserve"> </w:t>
                                                </w:r>
                                                <w:r w:rsidR="00044CF4" w:rsidRPr="00BE457B">
                                                  <w:rPr>
                                                    <w:rFonts w:asciiTheme="majorHAnsi" w:hAnsiTheme="majorHAnsi" w:cstheme="majorHAnsi"/>
                                                  </w:rPr>
                                                  <w:t>précise la Ministre.</w:t>
                                                </w:r>
                                              </w:p>
                                              <w:p w14:paraId="6F7D6077" w14:textId="55D53B08" w:rsidR="0003132B" w:rsidRPr="00BE457B" w:rsidRDefault="0003132B" w:rsidP="00C85A40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37106A67" w14:textId="76175B6D" w:rsidR="00C85A40" w:rsidRPr="00BE457B" w:rsidRDefault="00D76455" w:rsidP="00C85A40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Ce soutien financier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s’inscrit dans un </w:t>
                                                </w:r>
                                                <w:r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dispositif complémentaire 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de mesures </w:t>
                                                </w:r>
                                                <w:r w:rsidR="00FA6FA1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engagées </w:t>
                                                </w:r>
                                                <w:r w:rsidR="00380140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depuis plusieurs</w:t>
                                                </w:r>
                                                <w:r w:rsidR="00FA6FA1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mois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380140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visa</w:t>
                                                </w:r>
                                                <w:r w:rsidR="00882C6E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nt </w:t>
                                                </w:r>
                                                <w:r w:rsidR="00E00349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à </w:t>
                                                </w:r>
                                                <w:r w:rsidR="00FA6FA1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susciter et à sécuriser l’embauche par les employeurs publics et privés de travailleurs </w:t>
                                                </w:r>
                                                <w:r w:rsidR="00C85A40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handicapés</w:t>
                                                </w:r>
                                                <w:r w:rsidR="00883C91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C85A40" w:rsidRPr="00BE457B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: </w:t>
                                                </w:r>
                                              </w:p>
                                              <w:p w14:paraId="791B4900" w14:textId="38283003" w:rsidR="00AD363D" w:rsidRDefault="00AD363D" w:rsidP="00C85A40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0BCEB12F" w14:textId="1892E72D" w:rsidR="00FA6FA1" w:rsidRDefault="005E3BEC" w:rsidP="0063157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Amélioration de </w:t>
                                                </w:r>
                                                <w:r w:rsidR="00FA6FA1"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l’accessibilité</w:t>
                                                </w:r>
                                                <w:r w:rsidR="00FA6FA1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des centres de formation à tout type de handicap</w:t>
                                                </w:r>
                                              </w:p>
                                              <w:p w14:paraId="56BB564E" w14:textId="6FB4DBD1" w:rsidR="00D539CA" w:rsidRDefault="00D539CA" w:rsidP="00D539CA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0861D225" w14:textId="2419A436" w:rsidR="00D539CA" w:rsidRPr="00D539CA" w:rsidRDefault="00D539CA" w:rsidP="00D539CA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Création de </w:t>
                                                </w:r>
                                                <w:r w:rsidRPr="00D539CA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la prime pour favoriser l’apprentissage et les contrats et les contrats de professionnalisation</w:t>
                                                </w:r>
                                              </w:p>
                                              <w:p w14:paraId="5EACDB73" w14:textId="77777777" w:rsidR="00BE457B" w:rsidRPr="00BE457B" w:rsidRDefault="00BE457B" w:rsidP="00C85A40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4B81A011" w14:textId="3C15EF71" w:rsidR="00B27012" w:rsidRDefault="00B27012" w:rsidP="0063157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Majoration des aides mensuelles de l’AGEFIPH dans le cadre de la sortie de crise sanitaire</w:t>
                                                </w:r>
                                              </w:p>
                                              <w:p w14:paraId="0E56E2C8" w14:textId="77777777" w:rsidR="00631570" w:rsidRPr="00631570" w:rsidRDefault="00631570" w:rsidP="00631570">
                                                <w:pPr>
                                                  <w:pStyle w:val="Paragraphedeliste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706CC56B" w14:textId="27A49C57" w:rsidR="00B27012" w:rsidRPr="00631570" w:rsidRDefault="00B27012" w:rsidP="0063157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Majoration du compte personnel formation (CPF)</w:t>
                                                </w:r>
                                              </w:p>
                                              <w:p w14:paraId="50D69B34" w14:textId="77777777" w:rsidR="00631570" w:rsidRDefault="00631570" w:rsidP="00631570">
                                                <w:pPr>
                                                  <w:pStyle w:val="Paragraphedeliste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2B4380BC" w14:textId="55CDBCF3" w:rsidR="00B27012" w:rsidRPr="00631570" w:rsidRDefault="00B27012" w:rsidP="0063157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Instauration d’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un référent handicap dans 100% des centres de formations des apprentis</w:t>
                                                </w:r>
                                                <w:r w:rsid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(950 CFA en France)</w:t>
                                                </w:r>
                                              </w:p>
                                              <w:p w14:paraId="13C91240" w14:textId="77777777" w:rsidR="00631570" w:rsidRDefault="00631570" w:rsidP="00631570">
                                                <w:pPr>
                                                  <w:pStyle w:val="Paragraphedeliste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137021A8" w14:textId="540D0D6E" w:rsidR="00FA6FA1" w:rsidRPr="00631570" w:rsidRDefault="00C85A40" w:rsidP="0063157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Instauration d’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un </w:t>
                                                </w:r>
                                                <w:r w:rsidR="00FA6FA1"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référent handicap dans toutes les entre</w:t>
                                                </w:r>
                                                <w:r w:rsidR="00B27012"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prises de plus de 250 personnes.</w:t>
                                                </w:r>
                                              </w:p>
                                              <w:p w14:paraId="2B388BCE" w14:textId="77777777" w:rsidR="00631570" w:rsidRPr="00631570" w:rsidRDefault="00631570" w:rsidP="00631570">
                                                <w:pPr>
                                                  <w:pStyle w:val="Paragraphedeliste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43ABBD54" w14:textId="23CDDA33" w:rsidR="00FA6FA1" w:rsidRPr="00631570" w:rsidRDefault="00FA6FA1" w:rsidP="0063157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Favoriser la rencontre entre l’employeur et le demandeur d’emploi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en situation de</w:t>
                                                </w:r>
                                                <w:r w:rsidR="00AD363D"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handicap</w:t>
                                                </w:r>
                                                <w:r w:rsidR="00754A08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 -&gt; rapprochement en cours de Pôle emploi et de Cap Emploi</w:t>
                                                </w:r>
                                                <w:r w:rsidR="007958B9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, contrats tremplin</w:t>
                                                </w:r>
                                                <w:r w:rsid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7958B9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des Entreprises Adaptées</w:t>
                                                </w:r>
                                              </w:p>
                                              <w:p w14:paraId="55749209" w14:textId="77777777" w:rsidR="00631570" w:rsidRPr="00631570" w:rsidRDefault="00631570" w:rsidP="00631570">
                                                <w:pPr>
                                                  <w:pStyle w:val="Paragraphedeliste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640282E3" w14:textId="335816EF" w:rsidR="009204C3" w:rsidRPr="00631570" w:rsidRDefault="00FA6FA1" w:rsidP="0063157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lastRenderedPageBreak/>
                                                  <w:t>Accompagner l’employeur et la personne dans la durée</w:t>
                                                </w:r>
                                                <w:r w:rsidR="00297732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,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une fois le recrutement réalisé</w:t>
                                                </w:r>
                                                <w:r w:rsidR="00F33FDB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="00754A08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-&gt; </w:t>
                                                </w:r>
                                                <w:r w:rsidR="007958B9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Dispositif Emploi Accompagné</w:t>
                                                </w:r>
                                              </w:p>
                                              <w:p w14:paraId="6401F284" w14:textId="77777777" w:rsidR="00BE457B" w:rsidRPr="00BE457B" w:rsidRDefault="00BE457B" w:rsidP="00C85A40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12AE853F" w14:textId="77777777" w:rsidR="00631570" w:rsidRDefault="00B27012" w:rsidP="00E132F3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Amélioration de la lisibilité des ressources et dispositifs de compensation du handicap</w:t>
                                                </w:r>
                                                <w:r w:rsidR="00631570"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sur le champ de l’emploi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, disponibles sur les territoires -&gt; Evolution du dispositif PRITH</w:t>
                                                </w:r>
                                                <w:r w:rsidR="00AD363D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(Programme Régional pour l’Insertion des Travailleurs Handicapés</w:t>
                                                </w:r>
                                                <w:r w:rsidR="00AD363D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14:paraId="4C3A6D58" w14:textId="77777777" w:rsidR="00631570" w:rsidRPr="00631570" w:rsidRDefault="00631570" w:rsidP="00631570">
                                                <w:pPr>
                                                  <w:pStyle w:val="Paragraphedeliste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78172DDB" w14:textId="5F8BD671" w:rsidR="009204C3" w:rsidRPr="00631570" w:rsidRDefault="009204C3" w:rsidP="00E132F3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000000"/>
                                                  </w:rPr>
                                                  <w:t>Promouvoir #OsonsLEmploi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>, la stratégie nationale pour l’emploi des personnes en</w:t>
                                                </w:r>
                                                <w:r w:rsidR="00AD363D"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br/>
                                                  <w:t xml:space="preserve"> </w:t>
                                                </w:r>
                                                <w:r w:rsidRPr="00631570"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  <w:t xml:space="preserve"> situation de handicap. </w:t>
                                                </w:r>
                                              </w:p>
                                              <w:p w14:paraId="5418E25A" w14:textId="2CBCB429" w:rsidR="00380140" w:rsidRDefault="00380140" w:rsidP="00C85A40">
                                                <w:pPr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14:paraId="450B6CA4" w14:textId="77777777" w:rsidR="00631570" w:rsidRDefault="00631570" w:rsidP="00631570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0E8CE6AF" w14:textId="77777777" w:rsidR="00631570" w:rsidRDefault="00631570" w:rsidP="00631570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055655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Contact presse :</w:t>
                                                </w:r>
                                              </w:p>
                                              <w:p w14:paraId="4026E492" w14:textId="358B75AE" w:rsidR="00631570" w:rsidRPr="006F34BE" w:rsidRDefault="003E1120" w:rsidP="00631570">
                                                <w:pPr>
                                                  <w:rPr>
                                                    <w:rStyle w:val="Lienhypertexte"/>
                                                    <w:rFonts w:ascii="Arial" w:hAnsi="Arial" w:cs="Arial"/>
                                                    <w:b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hyperlink r:id="rId9" w:history="1">
                                                  <w:r w:rsidR="00631570" w:rsidRPr="006F34BE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b/>
                                                      <w:color w:val="auto"/>
                                                      <w:sz w:val="22"/>
                                                      <w:szCs w:val="22"/>
                                                    </w:rPr>
                                                    <w:t>seph.communication@pm.gouv.fr</w:t>
                                                  </w:r>
                                                </w:hyperlink>
                                              </w:p>
                                              <w:p w14:paraId="1C5EE3E4" w14:textId="6918FF92" w:rsidR="006F34BE" w:rsidRPr="006F34BE" w:rsidRDefault="006F34BE" w:rsidP="006F34BE">
                                                <w:pPr>
                                                  <w:spacing w:before="12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F34BE">
                                                  <w:rPr>
                                                    <w:rStyle w:val="Lienhypertexte"/>
                                                    <w:rFonts w:ascii="Arial" w:hAnsi="Arial" w:cs="Arial"/>
                                                    <w:color w:val="auto"/>
                                                    <w:sz w:val="22"/>
                                                    <w:szCs w:val="22"/>
                                                    <w:u w:val="none"/>
                                                  </w:rPr>
                                                  <w:t>Tél : 01.40.56.85.57</w:t>
                                                </w:r>
                                              </w:p>
                                              <w:p w14:paraId="393F4BF1" w14:textId="24C42355" w:rsidR="00631570" w:rsidRPr="00BE457B" w:rsidRDefault="00631570" w:rsidP="0003132B">
                                                <w:pPr>
                                                  <w:rPr>
                                                    <w:rFonts w:asciiTheme="majorHAnsi" w:hAnsiTheme="majorHAnsi" w:cstheme="majorHAnsi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D363D" w:rsidRPr="00BE457B" w14:paraId="0D7EA71D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72BB10C1" w14:textId="53C8A875" w:rsidR="00AD363D" w:rsidRPr="00BE457B" w:rsidRDefault="00AD363D" w:rsidP="00743737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041E749" w14:textId="77777777" w:rsidR="00743737" w:rsidRPr="00BE457B" w:rsidRDefault="00743737" w:rsidP="00743737">
                                          <w:pPr>
                                            <w:rPr>
                                              <w:rFonts w:asciiTheme="majorHAnsi" w:eastAsia="Times New Roman" w:hAnsiTheme="majorHAnsi" w:cstheme="majorHAns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C750C6" w14:textId="57C3BE7C" w:rsidR="00743737" w:rsidRPr="00BE457B" w:rsidRDefault="00743737" w:rsidP="00743737">
                                    <w:pPr>
                                      <w:rPr>
                                        <w:rFonts w:asciiTheme="majorHAnsi" w:eastAsia="Times New Roman" w:hAnsiTheme="majorHAnsi" w:cstheme="maj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2B9A53" w14:textId="77777777" w:rsidR="00743737" w:rsidRPr="00BE457B" w:rsidRDefault="00743737" w:rsidP="00743737">
                              <w:pPr>
                                <w:rPr>
                                  <w:rFonts w:asciiTheme="majorHAnsi" w:eastAsia="Times New Roman" w:hAnsiTheme="majorHAnsi" w:cstheme="majorHAnsi"/>
                                </w:rPr>
                              </w:pPr>
                            </w:p>
                          </w:tc>
                        </w:tr>
                      </w:tbl>
                      <w:p w14:paraId="0476F8D7" w14:textId="77777777" w:rsidR="00743737" w:rsidRPr="00BE457B" w:rsidRDefault="00743737" w:rsidP="00743737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</w:rPr>
                        </w:pPr>
                      </w:p>
                    </w:tc>
                  </w:tr>
                </w:tbl>
                <w:p w14:paraId="0133BB32" w14:textId="77777777" w:rsidR="00743737" w:rsidRPr="00BE457B" w:rsidRDefault="00743737" w:rsidP="00743737">
                  <w:pPr>
                    <w:jc w:val="center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</w:tbl>
          <w:p w14:paraId="19C415DD" w14:textId="77777777" w:rsidR="00743737" w:rsidRPr="00BE457B" w:rsidRDefault="00743737" w:rsidP="00743737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74301325" w14:textId="7E667D4C" w:rsidR="00743737" w:rsidRPr="00BE457B" w:rsidRDefault="00743737" w:rsidP="00631570">
      <w:pPr>
        <w:rPr>
          <w:rFonts w:asciiTheme="majorHAnsi" w:hAnsiTheme="majorHAnsi" w:cstheme="majorHAnsi"/>
        </w:rPr>
      </w:pPr>
    </w:p>
    <w:sectPr w:rsidR="00743737" w:rsidRPr="00BE457B" w:rsidSect="00AD363D">
      <w:headerReference w:type="default" r:id="rId10"/>
      <w:footerReference w:type="default" r:id="rId11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81D3" w14:textId="77777777" w:rsidR="00F33FDB" w:rsidRDefault="00F33FDB" w:rsidP="00F33FDB">
      <w:r>
        <w:separator/>
      </w:r>
    </w:p>
  </w:endnote>
  <w:endnote w:type="continuationSeparator" w:id="0">
    <w:p w14:paraId="6C80D257" w14:textId="77777777" w:rsidR="00F33FDB" w:rsidRDefault="00F33FDB" w:rsidP="00F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BC14" w14:textId="7600BCBF" w:rsidR="00F33FDB" w:rsidRDefault="00F33FD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55F110" wp14:editId="7D3EAE3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ab854f6c821123e569cd1e29" descr="{&quot;HashCode&quot;:9679731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0CFE9" w14:textId="278CC0BD" w:rsidR="00F33FDB" w:rsidRPr="00F33FDB" w:rsidRDefault="00F33FDB" w:rsidP="00F33FDB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5F110" id="_x0000_t202" coordsize="21600,21600" o:spt="202" path="m,l,21600r21600,l21600,xe">
              <v:stroke joinstyle="miter"/>
              <v:path gradientshapeok="t" o:connecttype="rect"/>
            </v:shapetype>
            <v:shape id="MSIPCMab854f6c821123e569cd1e29" o:spid="_x0000_s1026" type="#_x0000_t202" alt="{&quot;HashCode&quot;:967973103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bxGwMAADY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" o:allowincell="f" filled="f" stroked="f" strokeweight=".5pt">
              <v:textbox inset="20pt,0,,0">
                <w:txbxContent>
                  <w:p w14:paraId="6780CFE9" w14:textId="278CC0BD" w:rsidR="00F33FDB" w:rsidRPr="00F33FDB" w:rsidRDefault="00F33FDB" w:rsidP="00F33FDB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DB84" w14:textId="77777777" w:rsidR="00F33FDB" w:rsidRDefault="00F33FDB" w:rsidP="00F33FDB">
      <w:r>
        <w:separator/>
      </w:r>
    </w:p>
  </w:footnote>
  <w:footnote w:type="continuationSeparator" w:id="0">
    <w:p w14:paraId="5BF18044" w14:textId="77777777" w:rsidR="00F33FDB" w:rsidRDefault="00F33FDB" w:rsidP="00F3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E0B1" w14:textId="77777777" w:rsidR="00BE457B" w:rsidRDefault="00BE45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4C9"/>
    <w:multiLevelType w:val="hybridMultilevel"/>
    <w:tmpl w:val="9C84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04CEC"/>
    <w:multiLevelType w:val="hybridMultilevel"/>
    <w:tmpl w:val="75DCD872"/>
    <w:lvl w:ilvl="0" w:tplc="F5ECE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54C"/>
    <w:multiLevelType w:val="hybridMultilevel"/>
    <w:tmpl w:val="9E884CF8"/>
    <w:lvl w:ilvl="0" w:tplc="6902E4BC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7"/>
    <w:rsid w:val="0003132B"/>
    <w:rsid w:val="00044CF4"/>
    <w:rsid w:val="000824FD"/>
    <w:rsid w:val="000C5F3E"/>
    <w:rsid w:val="0013428D"/>
    <w:rsid w:val="00196AF3"/>
    <w:rsid w:val="00297732"/>
    <w:rsid w:val="00380140"/>
    <w:rsid w:val="003E1120"/>
    <w:rsid w:val="003F55A1"/>
    <w:rsid w:val="00424C6D"/>
    <w:rsid w:val="00431598"/>
    <w:rsid w:val="0044524E"/>
    <w:rsid w:val="004E53FF"/>
    <w:rsid w:val="005306C8"/>
    <w:rsid w:val="005E3BEC"/>
    <w:rsid w:val="00631570"/>
    <w:rsid w:val="00686EF2"/>
    <w:rsid w:val="006F34BE"/>
    <w:rsid w:val="00743737"/>
    <w:rsid w:val="00754A08"/>
    <w:rsid w:val="007630A0"/>
    <w:rsid w:val="007958B9"/>
    <w:rsid w:val="007B25E2"/>
    <w:rsid w:val="00882C6E"/>
    <w:rsid w:val="00883C91"/>
    <w:rsid w:val="009204C3"/>
    <w:rsid w:val="00A428A1"/>
    <w:rsid w:val="00A8465F"/>
    <w:rsid w:val="00AA6903"/>
    <w:rsid w:val="00AD363D"/>
    <w:rsid w:val="00B27012"/>
    <w:rsid w:val="00B27B77"/>
    <w:rsid w:val="00BE457B"/>
    <w:rsid w:val="00C85A40"/>
    <w:rsid w:val="00D539CA"/>
    <w:rsid w:val="00D76455"/>
    <w:rsid w:val="00D85293"/>
    <w:rsid w:val="00DD1B6E"/>
    <w:rsid w:val="00E00349"/>
    <w:rsid w:val="00EC722A"/>
    <w:rsid w:val="00F33FDB"/>
    <w:rsid w:val="00F50EB2"/>
    <w:rsid w:val="00FA6FA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21CA5CD"/>
  <w14:defaultImageDpi w14:val="300"/>
  <w15:docId w15:val="{04394856-7D23-4972-B2FE-C028E96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7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43737"/>
    <w:rPr>
      <w:b/>
      <w:bCs/>
    </w:rPr>
  </w:style>
  <w:style w:type="paragraph" w:customStyle="1" w:styleId="yiv1840748461msonormal">
    <w:name w:val="yiv1840748461msonormal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yiv1840748461msobodytext">
    <w:name w:val="yiv1840748461msobodytext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FDB"/>
  </w:style>
  <w:style w:type="paragraph" w:styleId="Pieddepage">
    <w:name w:val="footer"/>
    <w:basedOn w:val="Normal"/>
    <w:link w:val="Pieddepag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FDB"/>
  </w:style>
  <w:style w:type="character" w:styleId="Marquedecommentaire">
    <w:name w:val="annotation reference"/>
    <w:basedOn w:val="Policepardfaut"/>
    <w:uiPriority w:val="99"/>
    <w:semiHidden/>
    <w:unhideWhenUsed/>
    <w:rsid w:val="004E5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8DEE-E099-4A1C-943C-B079E391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Dekerle</dc:creator>
  <cp:keywords/>
  <dc:description/>
  <cp:lastModifiedBy>MARIE-ANGELIQUE Chantal</cp:lastModifiedBy>
  <cp:revision>4</cp:revision>
  <cp:lastPrinted>2020-08-26T10:36:00Z</cp:lastPrinted>
  <dcterms:created xsi:type="dcterms:W3CDTF">2020-08-26T10:41:00Z</dcterms:created>
  <dcterms:modified xsi:type="dcterms:W3CDTF">2020-08-26T11:55:00Z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2020-08-24T16:03:49Z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7bd44cc5-738f-461d-a8c0-00004815a31a</vt:lpwstr>
  </property>
  <property fmtid="{D5CDD505-2E9C-101B-9397-08002B2CF9AE}" pid="8" name="MSIP_Label_1387ec98-8aff-418c-9455-dc857e1ea7dc_ContentBits">
    <vt:lpwstr>2</vt:lpwstr>
  </property>
</Properties>
</file>