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B06D3D" w:rsidRPr="00DC3B80" w:rsidTr="0072638F">
        <w:tc>
          <w:tcPr>
            <w:tcW w:w="0" w:type="auto"/>
            <w:tcMar>
              <w:top w:w="135" w:type="dxa"/>
              <w:left w:w="0" w:type="dxa"/>
              <w:bottom w:w="0" w:type="dxa"/>
              <w:right w:w="0" w:type="dxa"/>
            </w:tcMar>
            <w:hideMark/>
          </w:tcPr>
          <w:tbl>
            <w:tblPr>
              <w:tblpPr w:leftFromText="30" w:rightFromText="30" w:vertAnchor="text"/>
              <w:tblW w:w="4844" w:type="pct"/>
              <w:tblCellMar>
                <w:left w:w="0" w:type="dxa"/>
                <w:right w:w="0" w:type="dxa"/>
              </w:tblCellMar>
              <w:tblLook w:val="04A0" w:firstRow="1" w:lastRow="0" w:firstColumn="1" w:lastColumn="0" w:noHBand="0" w:noVBand="1"/>
            </w:tblPr>
            <w:tblGrid>
              <w:gridCol w:w="8789"/>
            </w:tblGrid>
            <w:tr w:rsidR="00DC3B80" w:rsidRPr="00DC3B80" w:rsidTr="00DC3B80">
              <w:tc>
                <w:tcPr>
                  <w:tcW w:w="5000" w:type="pct"/>
                  <w:shd w:val="clear" w:color="auto" w:fill="auto"/>
                  <w:tcMar>
                    <w:top w:w="0" w:type="dxa"/>
                    <w:left w:w="270" w:type="dxa"/>
                    <w:bottom w:w="135" w:type="dxa"/>
                    <w:right w:w="270" w:type="dxa"/>
                  </w:tcMar>
                  <w:hideMark/>
                </w:tcPr>
                <w:p w:rsidR="00B06D3D" w:rsidRPr="00DC3B80" w:rsidRDefault="00DC3B80" w:rsidP="00DC3B80">
                  <w:pPr>
                    <w:widowControl w:val="0"/>
                    <w:autoSpaceDE w:val="0"/>
                    <w:autoSpaceDN w:val="0"/>
                    <w:spacing w:after="0" w:line="276" w:lineRule="auto"/>
                    <w:rPr>
                      <w:rFonts w:ascii="Arial" w:hAnsi="Arial" w:cs="Arial"/>
                    </w:rPr>
                  </w:pPr>
                  <w:r w:rsidRPr="00DC3B80">
                    <w:rPr>
                      <w:rFonts w:ascii="Arial" w:hAnsi="Arial" w:cs="Arial"/>
                      <w:b/>
                      <w:noProof/>
                      <w:lang w:eastAsia="fr-FR"/>
                    </w:rPr>
                    <w:drawing>
                      <wp:anchor distT="0" distB="0" distL="114300" distR="114300" simplePos="0" relativeHeight="251659264" behindDoc="0" locked="0" layoutInCell="1" allowOverlap="1" wp14:anchorId="4C47895A" wp14:editId="6F6D25A6">
                        <wp:simplePos x="0" y="0"/>
                        <wp:positionH relativeFrom="column">
                          <wp:posOffset>-147320</wp:posOffset>
                        </wp:positionH>
                        <wp:positionV relativeFrom="paragraph">
                          <wp:posOffset>-486080</wp:posOffset>
                        </wp:positionV>
                        <wp:extent cx="2447925" cy="1228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B06D3D" w:rsidRPr="00DC3B80" w:rsidRDefault="00B06D3D" w:rsidP="00DC3B80">
                  <w:pPr>
                    <w:widowControl w:val="0"/>
                    <w:autoSpaceDE w:val="0"/>
                    <w:autoSpaceDN w:val="0"/>
                    <w:spacing w:after="0" w:line="276" w:lineRule="auto"/>
                    <w:rPr>
                      <w:rFonts w:ascii="Arial" w:hAnsi="Arial" w:cs="Arial"/>
                    </w:rPr>
                  </w:pPr>
                </w:p>
                <w:p w:rsidR="00DC3B80" w:rsidRPr="00DC3B80" w:rsidRDefault="00DC3B80" w:rsidP="00DC3B80">
                  <w:pPr>
                    <w:widowControl w:val="0"/>
                    <w:autoSpaceDE w:val="0"/>
                    <w:autoSpaceDN w:val="0"/>
                    <w:spacing w:after="0" w:line="276" w:lineRule="auto"/>
                    <w:jc w:val="center"/>
                    <w:outlineLvl w:val="0"/>
                    <w:rPr>
                      <w:rFonts w:ascii="Arial" w:hAnsi="Arial" w:cs="Arial"/>
                      <w:b/>
                    </w:rPr>
                  </w:pPr>
                </w:p>
                <w:p w:rsidR="00DC3B80" w:rsidRPr="00DC3B80" w:rsidRDefault="00DC3B80" w:rsidP="00DC3B80">
                  <w:pPr>
                    <w:widowControl w:val="0"/>
                    <w:autoSpaceDE w:val="0"/>
                    <w:autoSpaceDN w:val="0"/>
                    <w:spacing w:after="0" w:line="276" w:lineRule="auto"/>
                    <w:jc w:val="right"/>
                    <w:outlineLvl w:val="0"/>
                    <w:rPr>
                      <w:rFonts w:ascii="Arial" w:hAnsi="Arial" w:cs="Arial"/>
                    </w:rPr>
                  </w:pPr>
                </w:p>
                <w:p w:rsidR="00DC3B80" w:rsidRPr="00DC3B80" w:rsidRDefault="00DC3B80" w:rsidP="00DC3B80">
                  <w:pPr>
                    <w:widowControl w:val="0"/>
                    <w:autoSpaceDE w:val="0"/>
                    <w:autoSpaceDN w:val="0"/>
                    <w:spacing w:after="0" w:line="276" w:lineRule="auto"/>
                    <w:jc w:val="right"/>
                    <w:outlineLvl w:val="0"/>
                    <w:rPr>
                      <w:rFonts w:ascii="Arial" w:hAnsi="Arial" w:cs="Arial"/>
                    </w:rPr>
                  </w:pPr>
                </w:p>
                <w:p w:rsidR="00DC3B80" w:rsidRPr="00DC3B80" w:rsidRDefault="00DC3B80" w:rsidP="00DC3B80">
                  <w:pPr>
                    <w:widowControl w:val="0"/>
                    <w:autoSpaceDE w:val="0"/>
                    <w:autoSpaceDN w:val="0"/>
                    <w:spacing w:after="0" w:line="276" w:lineRule="auto"/>
                    <w:jc w:val="right"/>
                    <w:outlineLvl w:val="0"/>
                    <w:rPr>
                      <w:rFonts w:ascii="Arial" w:hAnsi="Arial" w:cs="Arial"/>
                      <w:b/>
                    </w:rPr>
                  </w:pPr>
                  <w:r w:rsidRPr="00DC3B80">
                    <w:rPr>
                      <w:rFonts w:ascii="Arial" w:hAnsi="Arial" w:cs="Arial"/>
                    </w:rPr>
                    <w:t>Paris, le 27 janvier 2021</w:t>
                  </w:r>
                </w:p>
                <w:p w:rsidR="00DC3B80" w:rsidRPr="00DC3B80" w:rsidRDefault="00DC3B80" w:rsidP="00DC3B80">
                  <w:pPr>
                    <w:widowControl w:val="0"/>
                    <w:autoSpaceDE w:val="0"/>
                    <w:autoSpaceDN w:val="0"/>
                    <w:spacing w:after="0" w:line="276" w:lineRule="auto"/>
                    <w:jc w:val="center"/>
                    <w:outlineLvl w:val="0"/>
                    <w:rPr>
                      <w:rFonts w:ascii="Arial" w:hAnsi="Arial" w:cs="Arial"/>
                      <w:b/>
                    </w:rPr>
                  </w:pPr>
                </w:p>
                <w:p w:rsidR="00DC3B80" w:rsidRPr="00DC3B80" w:rsidRDefault="00DC3B80" w:rsidP="00DC3B80">
                  <w:pPr>
                    <w:widowControl w:val="0"/>
                    <w:autoSpaceDE w:val="0"/>
                    <w:autoSpaceDN w:val="0"/>
                    <w:spacing w:after="0" w:line="276" w:lineRule="auto"/>
                    <w:jc w:val="center"/>
                    <w:outlineLvl w:val="0"/>
                    <w:rPr>
                      <w:rFonts w:ascii="Arial" w:hAnsi="Arial" w:cs="Arial"/>
                      <w:b/>
                    </w:rPr>
                  </w:pPr>
                </w:p>
                <w:p w:rsidR="00B06D3D" w:rsidRPr="00DC3B80" w:rsidRDefault="00B06D3D" w:rsidP="00DC3B80">
                  <w:pPr>
                    <w:widowControl w:val="0"/>
                    <w:autoSpaceDE w:val="0"/>
                    <w:autoSpaceDN w:val="0"/>
                    <w:spacing w:after="0" w:line="276" w:lineRule="auto"/>
                    <w:jc w:val="center"/>
                    <w:outlineLvl w:val="0"/>
                    <w:rPr>
                      <w:rFonts w:ascii="Arial" w:hAnsi="Arial" w:cs="Arial"/>
                    </w:rPr>
                  </w:pPr>
                  <w:r w:rsidRPr="00DC3B80">
                    <w:rPr>
                      <w:rFonts w:ascii="Arial" w:hAnsi="Arial" w:cs="Arial"/>
                    </w:rPr>
                    <w:t>COMMUNIQUÉ DE PRESSE</w:t>
                  </w:r>
                </w:p>
                <w:p w:rsidR="00B06D3D" w:rsidRPr="00DC3B80" w:rsidRDefault="00B06D3D" w:rsidP="00DC3B80">
                  <w:pPr>
                    <w:widowControl w:val="0"/>
                    <w:autoSpaceDE w:val="0"/>
                    <w:autoSpaceDN w:val="0"/>
                    <w:spacing w:after="0" w:line="276" w:lineRule="auto"/>
                    <w:jc w:val="center"/>
                    <w:outlineLvl w:val="0"/>
                    <w:rPr>
                      <w:rFonts w:ascii="Arial" w:hAnsi="Arial" w:cs="Arial"/>
                    </w:rPr>
                  </w:pPr>
                </w:p>
                <w:p w:rsidR="00B06D3D" w:rsidRPr="00DC3B80" w:rsidRDefault="00B06D3D" w:rsidP="00DC3B80">
                  <w:pPr>
                    <w:widowControl w:val="0"/>
                    <w:autoSpaceDE w:val="0"/>
                    <w:autoSpaceDN w:val="0"/>
                    <w:spacing w:after="0" w:line="276" w:lineRule="auto"/>
                    <w:jc w:val="center"/>
                    <w:rPr>
                      <w:rFonts w:ascii="Arial" w:hAnsi="Arial" w:cs="Arial"/>
                    </w:rPr>
                  </w:pPr>
                </w:p>
                <w:p w:rsidR="00B06D3D" w:rsidRPr="00DC3B80" w:rsidRDefault="00916DB0" w:rsidP="00DC3B80">
                  <w:pPr>
                    <w:widowControl w:val="0"/>
                    <w:autoSpaceDE w:val="0"/>
                    <w:autoSpaceDN w:val="0"/>
                    <w:spacing w:after="0" w:line="276" w:lineRule="auto"/>
                    <w:ind w:left="14" w:right="24"/>
                    <w:jc w:val="both"/>
                    <w:rPr>
                      <w:rFonts w:ascii="Arial" w:hAnsi="Arial" w:cs="Arial"/>
                      <w:b/>
                    </w:rPr>
                  </w:pPr>
                  <w:r w:rsidRPr="00DC3B80">
                    <w:rPr>
                      <w:rFonts w:ascii="Arial" w:hAnsi="Arial" w:cs="Arial"/>
                      <w:b/>
                    </w:rPr>
                    <w:t xml:space="preserve">A partir du rapport IGAS d’octobre 2019 </w:t>
                  </w:r>
                  <w:r w:rsidR="004621C5" w:rsidRPr="00DC3B80">
                    <w:rPr>
                      <w:rFonts w:ascii="Arial" w:hAnsi="Arial" w:cs="Arial"/>
                      <w:b/>
                    </w:rPr>
                    <w:t>sur les</w:t>
                  </w:r>
                  <w:r w:rsidRPr="00DC3B80">
                    <w:rPr>
                      <w:rFonts w:ascii="Arial" w:hAnsi="Arial" w:cs="Arial"/>
                      <w:b/>
                    </w:rPr>
                    <w:t xml:space="preserve"> Etablissements et Service d’Aide par le Travail (ESAT), Sophie </w:t>
                  </w:r>
                  <w:proofErr w:type="spellStart"/>
                  <w:r w:rsidRPr="00DC3B80">
                    <w:rPr>
                      <w:rFonts w:ascii="Arial" w:hAnsi="Arial" w:cs="Arial"/>
                      <w:b/>
                    </w:rPr>
                    <w:t>Cluzel</w:t>
                  </w:r>
                  <w:proofErr w:type="spellEnd"/>
                  <w:r w:rsidRPr="00DC3B80">
                    <w:rPr>
                      <w:rFonts w:ascii="Arial" w:hAnsi="Arial" w:cs="Arial"/>
                      <w:b/>
                    </w:rPr>
                    <w:t>, Secrétaire</w:t>
                  </w:r>
                  <w:r w:rsidR="00433735" w:rsidRPr="00DC3B80">
                    <w:rPr>
                      <w:rFonts w:ascii="Arial" w:hAnsi="Arial" w:cs="Arial"/>
                      <w:b/>
                    </w:rPr>
                    <w:t xml:space="preserve"> d’Etat </w:t>
                  </w:r>
                  <w:r w:rsidRPr="00DC3B80">
                    <w:rPr>
                      <w:rFonts w:ascii="Arial" w:hAnsi="Arial" w:cs="Arial"/>
                      <w:b/>
                    </w:rPr>
                    <w:t>auprès du Premier ministre chargée des</w:t>
                  </w:r>
                  <w:r w:rsidR="00433735" w:rsidRPr="00DC3B80">
                    <w:rPr>
                      <w:rFonts w:ascii="Arial" w:hAnsi="Arial" w:cs="Arial"/>
                      <w:b/>
                    </w:rPr>
                    <w:t xml:space="preserve"> Personnes Handicapées</w:t>
                  </w:r>
                  <w:r w:rsidR="004621C5" w:rsidRPr="00DC3B80">
                    <w:rPr>
                      <w:rFonts w:ascii="Arial" w:hAnsi="Arial" w:cs="Arial"/>
                      <w:b/>
                    </w:rPr>
                    <w:t>,</w:t>
                  </w:r>
                  <w:r w:rsidR="00433735" w:rsidRPr="00DC3B80">
                    <w:rPr>
                      <w:rFonts w:ascii="Arial" w:hAnsi="Arial" w:cs="Arial"/>
                      <w:b/>
                    </w:rPr>
                    <w:t xml:space="preserve"> lance </w:t>
                  </w:r>
                  <w:r w:rsidR="00B06D3D" w:rsidRPr="00DC3B80">
                    <w:rPr>
                      <w:rFonts w:ascii="Arial" w:hAnsi="Arial" w:cs="Arial"/>
                      <w:b/>
                    </w:rPr>
                    <w:t xml:space="preserve">une </w:t>
                  </w:r>
                  <w:r w:rsidRPr="00DC3B80">
                    <w:rPr>
                      <w:rFonts w:ascii="Arial" w:hAnsi="Arial" w:cs="Arial"/>
                      <w:b/>
                    </w:rPr>
                    <w:t>concertation</w:t>
                  </w:r>
                  <w:r w:rsidR="00B06D3D" w:rsidRPr="00DC3B80">
                    <w:rPr>
                      <w:rFonts w:ascii="Arial" w:hAnsi="Arial" w:cs="Arial"/>
                      <w:b/>
                    </w:rPr>
                    <w:t xml:space="preserve"> avec </w:t>
                  </w:r>
                  <w:r w:rsidRPr="00DC3B80">
                    <w:rPr>
                      <w:rFonts w:ascii="Arial" w:hAnsi="Arial" w:cs="Arial"/>
                      <w:b/>
                    </w:rPr>
                    <w:t>les parties prenantes</w:t>
                  </w:r>
                  <w:r w:rsidR="00B06D3D" w:rsidRPr="00DC3B80">
                    <w:rPr>
                      <w:rFonts w:ascii="Arial" w:hAnsi="Arial" w:cs="Arial"/>
                      <w:b/>
                    </w:rPr>
                    <w:t xml:space="preserve"> </w:t>
                  </w:r>
                  <w:r w:rsidR="00734E9E" w:rsidRPr="00DC3B80">
                    <w:rPr>
                      <w:rFonts w:ascii="Arial" w:hAnsi="Arial" w:cs="Arial"/>
                      <w:b/>
                    </w:rPr>
                    <w:t>du secteur</w:t>
                  </w:r>
                  <w:r w:rsidRPr="00DC3B80">
                    <w:rPr>
                      <w:rFonts w:ascii="Arial" w:hAnsi="Arial" w:cs="Arial"/>
                      <w:b/>
                    </w:rPr>
                    <w:t xml:space="preserve"> </w:t>
                  </w:r>
                  <w:r w:rsidR="00B06D3D" w:rsidRPr="00DC3B80">
                    <w:rPr>
                      <w:rFonts w:ascii="Arial" w:hAnsi="Arial" w:cs="Arial"/>
                      <w:b/>
                    </w:rPr>
                    <w:t xml:space="preserve">pour répondre aux enjeux </w:t>
                  </w:r>
                  <w:r w:rsidR="00433735" w:rsidRPr="00DC3B80">
                    <w:rPr>
                      <w:rFonts w:ascii="Arial" w:hAnsi="Arial" w:cs="Arial"/>
                      <w:b/>
                    </w:rPr>
                    <w:t>structurels</w:t>
                  </w:r>
                  <w:r w:rsidR="004621C5" w:rsidRPr="00DC3B80">
                    <w:rPr>
                      <w:rFonts w:ascii="Arial" w:hAnsi="Arial" w:cs="Arial"/>
                      <w:b/>
                    </w:rPr>
                    <w:t xml:space="preserve"> </w:t>
                  </w:r>
                  <w:r w:rsidRPr="00DC3B80">
                    <w:rPr>
                      <w:rFonts w:ascii="Arial" w:hAnsi="Arial" w:cs="Arial"/>
                      <w:b/>
                    </w:rPr>
                    <w:t>de modernisation attendus</w:t>
                  </w:r>
                  <w:r w:rsidR="00433735" w:rsidRPr="00DC3B80">
                    <w:rPr>
                      <w:rFonts w:ascii="Arial" w:hAnsi="Arial" w:cs="Arial"/>
                      <w:b/>
                    </w:rPr>
                    <w:t xml:space="preserve"> </w:t>
                  </w:r>
                  <w:r w:rsidRPr="00DC3B80">
                    <w:rPr>
                      <w:rFonts w:ascii="Arial" w:hAnsi="Arial" w:cs="Arial"/>
                      <w:b/>
                    </w:rPr>
                    <w:t>par</w:t>
                  </w:r>
                  <w:r w:rsidR="00734E9E" w:rsidRPr="00DC3B80">
                    <w:rPr>
                      <w:rFonts w:ascii="Arial" w:hAnsi="Arial" w:cs="Arial"/>
                      <w:b/>
                    </w:rPr>
                    <w:t xml:space="preserve"> ces établissements</w:t>
                  </w:r>
                  <w:r w:rsidR="00B06D3D" w:rsidRPr="00DC3B80">
                    <w:rPr>
                      <w:rFonts w:ascii="Arial" w:hAnsi="Arial" w:cs="Arial"/>
                      <w:b/>
                    </w:rPr>
                    <w:t xml:space="preserve">. </w:t>
                  </w:r>
                  <w:r w:rsidR="004621C5" w:rsidRPr="00DC3B80">
                    <w:rPr>
                      <w:rFonts w:ascii="Arial" w:hAnsi="Arial" w:cs="Arial"/>
                      <w:b/>
                    </w:rPr>
                    <w:t>En parallèle de cette concertation, les structures en grande difficulté économique en raison de la crise sanitaire feront l’objet d’un soutien financier</w:t>
                  </w:r>
                  <w:r w:rsidR="00DB517E" w:rsidRPr="00DC3B80">
                    <w:rPr>
                      <w:rFonts w:ascii="Arial" w:hAnsi="Arial" w:cs="Arial"/>
                      <w:b/>
                    </w:rPr>
                    <w:t xml:space="preserve"> spécifique</w:t>
                  </w:r>
                  <w:r w:rsidR="00433735" w:rsidRPr="00DC3B80">
                    <w:rPr>
                      <w:rFonts w:ascii="Arial" w:hAnsi="Arial" w:cs="Arial"/>
                      <w:b/>
                    </w:rPr>
                    <w:t xml:space="preserve">. </w:t>
                  </w:r>
                </w:p>
                <w:p w:rsidR="00901C17" w:rsidRPr="00DC3B80" w:rsidRDefault="00901C17" w:rsidP="00DC3B80">
                  <w:pPr>
                    <w:spacing w:after="0" w:line="276" w:lineRule="auto"/>
                    <w:jc w:val="both"/>
                    <w:rPr>
                      <w:rFonts w:ascii="Arial" w:hAnsi="Arial" w:cs="Arial"/>
                    </w:rPr>
                  </w:pPr>
                </w:p>
                <w:p w:rsidR="00DB517E" w:rsidRPr="00DC3B80" w:rsidRDefault="00484B9D" w:rsidP="00DC3B80">
                  <w:pPr>
                    <w:spacing w:after="120" w:line="276" w:lineRule="auto"/>
                    <w:jc w:val="both"/>
                    <w:rPr>
                      <w:rFonts w:ascii="Arial" w:hAnsi="Arial" w:cs="Arial"/>
                    </w:rPr>
                  </w:pPr>
                  <w:r w:rsidRPr="00DC3B80">
                    <w:rPr>
                      <w:rFonts w:ascii="Arial" w:hAnsi="Arial" w:cs="Arial"/>
                    </w:rPr>
                    <w:t>La crise économique</w:t>
                  </w:r>
                  <w:r w:rsidR="00DB517E" w:rsidRPr="00DC3B80">
                    <w:rPr>
                      <w:rFonts w:ascii="Arial" w:hAnsi="Arial" w:cs="Arial"/>
                    </w:rPr>
                    <w:t>, sanitaire</w:t>
                  </w:r>
                  <w:r w:rsidRPr="00DC3B80">
                    <w:rPr>
                      <w:rFonts w:ascii="Arial" w:hAnsi="Arial" w:cs="Arial"/>
                    </w:rPr>
                    <w:t xml:space="preserve"> et sociale renforce le rôle des </w:t>
                  </w:r>
                  <w:r w:rsidR="00A3509E" w:rsidRPr="00DC3B80">
                    <w:rPr>
                      <w:rFonts w:ascii="Arial" w:hAnsi="Arial" w:cs="Arial"/>
                    </w:rPr>
                    <w:t>dispositifs et structures</w:t>
                  </w:r>
                  <w:r w:rsidR="004B1866" w:rsidRPr="00DC3B80">
                    <w:rPr>
                      <w:rFonts w:ascii="Arial" w:hAnsi="Arial" w:cs="Arial"/>
                    </w:rPr>
                    <w:t xml:space="preserve"> dans les territoires</w:t>
                  </w:r>
                  <w:r w:rsidR="00A3509E" w:rsidRPr="00DC3B80">
                    <w:rPr>
                      <w:rFonts w:ascii="Arial" w:hAnsi="Arial" w:cs="Arial"/>
                    </w:rPr>
                    <w:t>, dont les ESAT</w:t>
                  </w:r>
                  <w:r w:rsidR="00DA7A80" w:rsidRPr="00DC3B80">
                    <w:rPr>
                      <w:rFonts w:ascii="Arial" w:hAnsi="Arial" w:cs="Arial"/>
                    </w:rPr>
                    <w:t>,</w:t>
                  </w:r>
                  <w:r w:rsidR="00A3509E" w:rsidRPr="00DC3B80">
                    <w:rPr>
                      <w:rFonts w:ascii="Arial" w:hAnsi="Arial" w:cs="Arial"/>
                    </w:rPr>
                    <w:t xml:space="preserve"> qui accompagnent les plus fragiles </w:t>
                  </w:r>
                  <w:r w:rsidR="008106A4" w:rsidRPr="00DC3B80">
                    <w:rPr>
                      <w:rFonts w:ascii="Arial" w:hAnsi="Arial" w:cs="Arial"/>
                    </w:rPr>
                    <w:t>v</w:t>
                  </w:r>
                  <w:r w:rsidRPr="00DC3B80">
                    <w:rPr>
                      <w:rFonts w:ascii="Arial" w:hAnsi="Arial" w:cs="Arial"/>
                    </w:rPr>
                    <w:t>ers le marché du travail</w:t>
                  </w:r>
                  <w:r w:rsidR="008106A4" w:rsidRPr="00DC3B80">
                    <w:rPr>
                      <w:rFonts w:ascii="Arial" w:hAnsi="Arial" w:cs="Arial"/>
                    </w:rPr>
                    <w:t>. I</w:t>
                  </w:r>
                  <w:r w:rsidRPr="00DC3B80">
                    <w:rPr>
                      <w:rFonts w:ascii="Arial" w:hAnsi="Arial" w:cs="Arial"/>
                    </w:rPr>
                    <w:t>l s’agit de maintenir leur capacité à proposer des parcours d’accès à l’emploi qui constituent autant de barrières contre le chômage de longue durée et la précarité.</w:t>
                  </w:r>
                  <w:r w:rsidR="00DB517E" w:rsidRPr="00DC3B80">
                    <w:rPr>
                      <w:rFonts w:ascii="Arial" w:hAnsi="Arial" w:cs="Arial"/>
                    </w:rPr>
                    <w:t xml:space="preserve"> Dans ce cadre, une concertation est lancée, avec l’ensemble des parties prenantes, pour accompagner la modernisation nécessaire et attendue des établissements et services d’aide par le travail. </w:t>
                  </w:r>
                </w:p>
                <w:p w:rsidR="00DB517E" w:rsidRPr="00DC3B80" w:rsidRDefault="00DB517E" w:rsidP="00DC3B80">
                  <w:pPr>
                    <w:spacing w:after="120" w:line="276" w:lineRule="auto"/>
                    <w:jc w:val="both"/>
                    <w:rPr>
                      <w:rFonts w:ascii="Arial" w:hAnsi="Arial" w:cs="Arial"/>
                    </w:rPr>
                  </w:pPr>
                  <w:r w:rsidRPr="00DC3B80">
                    <w:rPr>
                      <w:rFonts w:ascii="Arial" w:hAnsi="Arial" w:cs="Arial"/>
                    </w:rPr>
                    <w:t xml:space="preserve">Pour répondre à cette ambition de transformation du secteur, 5 groupes de travail ont été lancés avec pour objectif la mise en œuvre d’ici la fin du premier semestre 2021 </w:t>
                  </w:r>
                  <w:r w:rsidR="004B1866" w:rsidRPr="00DC3B80">
                    <w:rPr>
                      <w:rFonts w:ascii="Arial" w:hAnsi="Arial" w:cs="Arial"/>
                    </w:rPr>
                    <w:t xml:space="preserve">de </w:t>
                  </w:r>
                  <w:r w:rsidRPr="00DC3B80">
                    <w:rPr>
                      <w:rFonts w:ascii="Arial" w:hAnsi="Arial" w:cs="Arial"/>
                    </w:rPr>
                    <w:t xml:space="preserve">mesures concrètes pour </w:t>
                  </w:r>
                  <w:r w:rsidR="004B1866" w:rsidRPr="00DC3B80">
                    <w:rPr>
                      <w:rFonts w:ascii="Arial" w:hAnsi="Arial" w:cs="Arial"/>
                    </w:rPr>
                    <w:t xml:space="preserve">accompagner </w:t>
                  </w:r>
                  <w:r w:rsidRPr="00DC3B80">
                    <w:rPr>
                      <w:rFonts w:ascii="Arial" w:hAnsi="Arial" w:cs="Arial"/>
                    </w:rPr>
                    <w:t xml:space="preserve">les établissements à proposer une diversité d’accompagnements et de parcours vers l’emploi dans un contexte économique </w:t>
                  </w:r>
                  <w:r w:rsidR="00923EFE" w:rsidRPr="00DC3B80">
                    <w:rPr>
                      <w:rFonts w:ascii="Arial" w:hAnsi="Arial" w:cs="Arial"/>
                    </w:rPr>
                    <w:t>com</w:t>
                  </w:r>
                  <w:r w:rsidRPr="00DC3B80">
                    <w:rPr>
                      <w:rFonts w:ascii="Arial" w:hAnsi="Arial" w:cs="Arial"/>
                    </w:rPr>
                    <w:t xml:space="preserve">plexe. </w:t>
                  </w:r>
                  <w:r w:rsidR="00352A11" w:rsidRPr="00DC3B80">
                    <w:rPr>
                      <w:rFonts w:ascii="Arial" w:hAnsi="Arial" w:cs="Arial"/>
                    </w:rPr>
                    <w:t>Outre les principaux organismes gestionnaires, C</w:t>
                  </w:r>
                  <w:r w:rsidRPr="00DC3B80">
                    <w:rPr>
                      <w:rFonts w:ascii="Arial" w:hAnsi="Arial" w:cs="Arial"/>
                    </w:rPr>
                    <w:t>es groupes de travail associeront</w:t>
                  </w:r>
                  <w:r w:rsidR="00352A11" w:rsidRPr="00DC3B80">
                    <w:rPr>
                      <w:rFonts w:ascii="Arial" w:hAnsi="Arial" w:cs="Arial"/>
                    </w:rPr>
                    <w:t>,</w:t>
                  </w:r>
                  <w:r w:rsidRPr="00DC3B80">
                    <w:rPr>
                      <w:rFonts w:ascii="Arial" w:hAnsi="Arial" w:cs="Arial"/>
                    </w:rPr>
                    <w:t xml:space="preserve"> des professionnels issus d’établissements ayant mené des actions innovantes mais aussi des travailleurs d’E</w:t>
                  </w:r>
                  <w:r w:rsidR="00DC3B80" w:rsidRPr="00DC3B80">
                    <w:rPr>
                      <w:rFonts w:ascii="Arial" w:hAnsi="Arial" w:cs="Arial"/>
                    </w:rPr>
                    <w:t>SAT</w:t>
                  </w:r>
                  <w:r w:rsidRPr="00DC3B80">
                    <w:rPr>
                      <w:rFonts w:ascii="Arial" w:hAnsi="Arial" w:cs="Arial"/>
                    </w:rPr>
                    <w:t> et des représentants d’entreprises ordinaires.</w:t>
                  </w:r>
                </w:p>
                <w:p w:rsidR="00484B9D" w:rsidRPr="00DC3B80" w:rsidRDefault="00484B9D" w:rsidP="00DC3B80">
                  <w:pPr>
                    <w:spacing w:after="120" w:line="276" w:lineRule="auto"/>
                    <w:jc w:val="both"/>
                    <w:rPr>
                      <w:rFonts w:ascii="Arial" w:hAnsi="Arial" w:cs="Arial"/>
                    </w:rPr>
                  </w:pPr>
                  <w:r w:rsidRPr="00DC3B80">
                    <w:rPr>
                      <w:rFonts w:ascii="Arial" w:hAnsi="Arial" w:cs="Arial"/>
                    </w:rPr>
                    <w:t xml:space="preserve">L’objectif est triple : </w:t>
                  </w:r>
                </w:p>
                <w:p w:rsidR="00484B9D" w:rsidRPr="00DC3B80" w:rsidRDefault="000F166B" w:rsidP="00DC3B80">
                  <w:pPr>
                    <w:pStyle w:val="Paragraphedeliste"/>
                    <w:numPr>
                      <w:ilvl w:val="0"/>
                      <w:numId w:val="2"/>
                    </w:numPr>
                    <w:spacing w:after="120" w:line="276" w:lineRule="auto"/>
                    <w:jc w:val="both"/>
                    <w:rPr>
                      <w:rFonts w:ascii="Arial" w:hAnsi="Arial" w:cs="Arial"/>
                    </w:rPr>
                  </w:pPr>
                  <w:r w:rsidRPr="00DC3B80">
                    <w:rPr>
                      <w:rFonts w:ascii="Arial" w:hAnsi="Arial" w:cs="Arial"/>
                    </w:rPr>
                    <w:t>Consolider</w:t>
                  </w:r>
                  <w:r w:rsidR="00484B9D" w:rsidRPr="00DC3B80">
                    <w:rPr>
                      <w:rFonts w:ascii="Arial" w:hAnsi="Arial" w:cs="Arial"/>
                    </w:rPr>
                    <w:t xml:space="preserve"> la mission d’accompagnement vers l’emploi des ESAT en faisant évoluer d’une part leur modèle économique pour davantage de souplesse, mais aussi leur offre d’accompagnement aux travailleurs, afin qu’ils puissent pleinement participer à l’objectif d’une société du travail pour tous et plus inclusive. </w:t>
                  </w:r>
                </w:p>
                <w:p w:rsidR="00484B9D" w:rsidRPr="00DC3B80" w:rsidRDefault="000F166B" w:rsidP="00DC3B80">
                  <w:pPr>
                    <w:pStyle w:val="Paragraphedeliste"/>
                    <w:numPr>
                      <w:ilvl w:val="0"/>
                      <w:numId w:val="2"/>
                    </w:numPr>
                    <w:spacing w:after="120" w:line="276" w:lineRule="auto"/>
                    <w:jc w:val="both"/>
                    <w:rPr>
                      <w:rFonts w:ascii="Arial" w:hAnsi="Arial" w:cs="Arial"/>
                    </w:rPr>
                  </w:pPr>
                  <w:r w:rsidRPr="00DC3B80">
                    <w:rPr>
                      <w:rFonts w:ascii="Arial" w:hAnsi="Arial" w:cs="Arial"/>
                    </w:rPr>
                    <w:t>Répondre</w:t>
                  </w:r>
                  <w:r w:rsidR="00484B9D" w:rsidRPr="00DC3B80">
                    <w:rPr>
                      <w:rFonts w:ascii="Arial" w:hAnsi="Arial" w:cs="Arial"/>
                    </w:rPr>
                    <w:t xml:space="preserve"> à la demande de reconnaissance des travailleurs d’E</w:t>
                  </w:r>
                  <w:r w:rsidRPr="00DC3B80">
                    <w:rPr>
                      <w:rFonts w:ascii="Arial" w:hAnsi="Arial" w:cs="Arial"/>
                    </w:rPr>
                    <w:t>SAT</w:t>
                  </w:r>
                  <w:r w:rsidR="00484B9D" w:rsidRPr="00DC3B80">
                    <w:rPr>
                      <w:rFonts w:ascii="Arial" w:hAnsi="Arial" w:cs="Arial"/>
                    </w:rPr>
                    <w:t xml:space="preserve"> en faisant évoluer leurs droits et leur capacité à participer à la gouvernance des établissements </w:t>
                  </w:r>
                </w:p>
                <w:p w:rsidR="00484B9D" w:rsidRPr="00DC3B80" w:rsidRDefault="000F166B" w:rsidP="00DC3B80">
                  <w:pPr>
                    <w:pStyle w:val="Paragraphedeliste"/>
                    <w:numPr>
                      <w:ilvl w:val="0"/>
                      <w:numId w:val="2"/>
                    </w:numPr>
                    <w:spacing w:after="120" w:line="276" w:lineRule="auto"/>
                    <w:jc w:val="both"/>
                    <w:rPr>
                      <w:rFonts w:ascii="Arial" w:hAnsi="Arial" w:cs="Arial"/>
                    </w:rPr>
                  </w:pPr>
                  <w:r w:rsidRPr="00DC3B80">
                    <w:rPr>
                      <w:rFonts w:ascii="Arial" w:hAnsi="Arial" w:cs="Arial"/>
                    </w:rPr>
                    <w:lastRenderedPageBreak/>
                    <w:t>Accompagner</w:t>
                  </w:r>
                  <w:r w:rsidR="00484B9D" w:rsidRPr="00DC3B80">
                    <w:rPr>
                      <w:rFonts w:ascii="Arial" w:hAnsi="Arial" w:cs="Arial"/>
                    </w:rPr>
                    <w:t xml:space="preserve"> les professionnels des établissements via des actions de formation adaptées aux enjeux actuels : management, spécialisation T</w:t>
                  </w:r>
                  <w:r w:rsidRPr="00DC3B80">
                    <w:rPr>
                      <w:rFonts w:ascii="Arial" w:hAnsi="Arial" w:cs="Arial"/>
                    </w:rPr>
                    <w:t xml:space="preserve">rouble du </w:t>
                  </w:r>
                  <w:r w:rsidR="00484B9D" w:rsidRPr="00DC3B80">
                    <w:rPr>
                      <w:rFonts w:ascii="Arial" w:hAnsi="Arial" w:cs="Arial"/>
                    </w:rPr>
                    <w:t>S</w:t>
                  </w:r>
                  <w:r w:rsidRPr="00DC3B80">
                    <w:rPr>
                      <w:rFonts w:ascii="Arial" w:hAnsi="Arial" w:cs="Arial"/>
                    </w:rPr>
                    <w:t>pectre de l’</w:t>
                  </w:r>
                  <w:r w:rsidR="00484B9D" w:rsidRPr="00DC3B80">
                    <w:rPr>
                      <w:rFonts w:ascii="Arial" w:hAnsi="Arial" w:cs="Arial"/>
                    </w:rPr>
                    <w:t>A</w:t>
                  </w:r>
                  <w:r w:rsidRPr="00DC3B80">
                    <w:rPr>
                      <w:rFonts w:ascii="Arial" w:hAnsi="Arial" w:cs="Arial"/>
                    </w:rPr>
                    <w:t>utisme</w:t>
                  </w:r>
                  <w:r w:rsidR="00923EFE" w:rsidRPr="00DC3B80">
                    <w:rPr>
                      <w:rFonts w:ascii="Arial" w:hAnsi="Arial" w:cs="Arial"/>
                    </w:rPr>
                    <w:t>…</w:t>
                  </w:r>
                  <w:r w:rsidR="00484B9D" w:rsidRPr="00DC3B80">
                    <w:rPr>
                      <w:rFonts w:ascii="Arial" w:hAnsi="Arial" w:cs="Arial"/>
                    </w:rPr>
                    <w:t xml:space="preserve"> </w:t>
                  </w:r>
                </w:p>
                <w:p w:rsidR="00484B9D" w:rsidRPr="00DC3B80" w:rsidRDefault="00484B9D" w:rsidP="00DC3B80">
                  <w:pPr>
                    <w:spacing w:after="120" w:line="276" w:lineRule="auto"/>
                    <w:jc w:val="both"/>
                    <w:rPr>
                      <w:rFonts w:ascii="Arial" w:eastAsia="Times New Roman" w:hAnsi="Arial" w:cs="Arial"/>
                      <w:b/>
                      <w:shd w:val="clear" w:color="auto" w:fill="FFFFFF"/>
                      <w:lang w:eastAsia="fr-FR"/>
                    </w:rPr>
                  </w:pPr>
                  <w:r w:rsidRPr="00DC3B80">
                    <w:rPr>
                      <w:rFonts w:ascii="Arial" w:eastAsia="Times New Roman" w:hAnsi="Arial" w:cs="Arial"/>
                      <w:b/>
                      <w:bCs/>
                      <w:shd w:val="clear" w:color="auto" w:fill="FFFFFF"/>
                      <w:lang w:eastAsia="fr-FR"/>
                    </w:rPr>
                    <w:t>Sophie CLUZEL : « </w:t>
                  </w:r>
                  <w:r w:rsidR="00FC3B79" w:rsidRPr="00DC3B80">
                    <w:rPr>
                      <w:rFonts w:ascii="Arial" w:eastAsia="Times New Roman" w:hAnsi="Arial" w:cs="Arial"/>
                      <w:b/>
                      <w:bCs/>
                      <w:shd w:val="clear" w:color="auto" w:fill="FFFFFF"/>
                      <w:lang w:eastAsia="fr-FR"/>
                    </w:rPr>
                    <w:t>Avec cette concertation</w:t>
                  </w:r>
                  <w:r w:rsidR="000209EC" w:rsidRPr="00DC3B80">
                    <w:rPr>
                      <w:rFonts w:ascii="Arial" w:eastAsia="Times New Roman" w:hAnsi="Arial" w:cs="Arial"/>
                      <w:b/>
                      <w:bCs/>
                      <w:shd w:val="clear" w:color="auto" w:fill="FFFFFF"/>
                      <w:lang w:eastAsia="fr-FR"/>
                    </w:rPr>
                    <w:t xml:space="preserve"> qui répond à une</w:t>
                  </w:r>
                  <w:r w:rsidRPr="00DC3B80">
                    <w:rPr>
                      <w:rFonts w:ascii="Arial" w:eastAsia="Times New Roman" w:hAnsi="Arial" w:cs="Arial"/>
                      <w:b/>
                      <w:bCs/>
                      <w:shd w:val="clear" w:color="auto" w:fill="FFFFFF"/>
                      <w:lang w:eastAsia="fr-FR"/>
                    </w:rPr>
                    <w:t xml:space="preserve"> demande forte des </w:t>
                  </w:r>
                  <w:r w:rsidR="00FC3B79" w:rsidRPr="00DC3B80">
                    <w:rPr>
                      <w:rFonts w:ascii="Arial" w:eastAsia="Times New Roman" w:hAnsi="Arial" w:cs="Arial"/>
                      <w:b/>
                      <w:bCs/>
                      <w:shd w:val="clear" w:color="auto" w:fill="FFFFFF"/>
                      <w:lang w:eastAsia="fr-FR"/>
                    </w:rPr>
                    <w:t xml:space="preserve">personnes en situation de handicap et </w:t>
                  </w:r>
                  <w:r w:rsidR="000209EC" w:rsidRPr="00DC3B80">
                    <w:rPr>
                      <w:rFonts w:ascii="Arial" w:eastAsia="Times New Roman" w:hAnsi="Arial" w:cs="Arial"/>
                      <w:b/>
                      <w:bCs/>
                      <w:shd w:val="clear" w:color="auto" w:fill="FFFFFF"/>
                      <w:lang w:eastAsia="fr-FR"/>
                    </w:rPr>
                    <w:t xml:space="preserve">à la mobilisation </w:t>
                  </w:r>
                  <w:r w:rsidR="00FC3B79" w:rsidRPr="00DC3B80">
                    <w:rPr>
                      <w:rFonts w:ascii="Arial" w:eastAsia="Times New Roman" w:hAnsi="Arial" w:cs="Arial"/>
                      <w:b/>
                      <w:bCs/>
                      <w:shd w:val="clear" w:color="auto" w:fill="FFFFFF"/>
                      <w:lang w:eastAsia="fr-FR"/>
                    </w:rPr>
                    <w:t xml:space="preserve">des </w:t>
                  </w:r>
                  <w:r w:rsidRPr="00DC3B80">
                    <w:rPr>
                      <w:rFonts w:ascii="Arial" w:eastAsia="Times New Roman" w:hAnsi="Arial" w:cs="Arial"/>
                      <w:b/>
                      <w:bCs/>
                      <w:shd w:val="clear" w:color="auto" w:fill="FFFFFF"/>
                      <w:lang w:eastAsia="fr-FR"/>
                    </w:rPr>
                    <w:t xml:space="preserve">organismes gestionnaires </w:t>
                  </w:r>
                  <w:r w:rsidR="000209EC" w:rsidRPr="00DC3B80">
                    <w:rPr>
                      <w:rFonts w:ascii="Arial" w:eastAsia="Times New Roman" w:hAnsi="Arial" w:cs="Arial"/>
                      <w:b/>
                      <w:bCs/>
                      <w:shd w:val="clear" w:color="auto" w:fill="FFFFFF"/>
                      <w:lang w:eastAsia="fr-FR"/>
                    </w:rPr>
                    <w:t xml:space="preserve">pour </w:t>
                  </w:r>
                  <w:r w:rsidRPr="00DC3B80">
                    <w:rPr>
                      <w:rFonts w:ascii="Arial" w:eastAsia="Times New Roman" w:hAnsi="Arial" w:cs="Arial"/>
                      <w:b/>
                      <w:bCs/>
                      <w:shd w:val="clear" w:color="auto" w:fill="FFFFFF"/>
                      <w:lang w:eastAsia="fr-FR"/>
                    </w:rPr>
                    <w:t xml:space="preserve">faire évoluer leur modèle </w:t>
                  </w:r>
                  <w:r w:rsidR="000209EC" w:rsidRPr="00DC3B80">
                    <w:rPr>
                      <w:rFonts w:ascii="Arial" w:eastAsia="Times New Roman" w:hAnsi="Arial" w:cs="Arial"/>
                      <w:b/>
                      <w:bCs/>
                      <w:shd w:val="clear" w:color="auto" w:fill="FFFFFF"/>
                      <w:lang w:eastAsia="fr-FR"/>
                    </w:rPr>
                    <w:t>actuel</w:t>
                  </w:r>
                  <w:r w:rsidR="00FC3B79" w:rsidRPr="00DC3B80">
                    <w:rPr>
                      <w:rFonts w:ascii="Arial" w:eastAsia="Times New Roman" w:hAnsi="Arial" w:cs="Arial"/>
                      <w:b/>
                      <w:bCs/>
                      <w:shd w:val="clear" w:color="auto" w:fill="FFFFFF"/>
                      <w:lang w:eastAsia="fr-FR"/>
                    </w:rPr>
                    <w:t xml:space="preserve">, nous allons pouvoir répondre </w:t>
                  </w:r>
                  <w:r w:rsidRPr="00DC3B80">
                    <w:rPr>
                      <w:rFonts w:ascii="Arial" w:eastAsia="Times New Roman" w:hAnsi="Arial" w:cs="Arial"/>
                      <w:b/>
                      <w:bCs/>
                      <w:shd w:val="clear" w:color="auto" w:fill="FFFFFF"/>
                      <w:lang w:eastAsia="fr-FR"/>
                    </w:rPr>
                    <w:t>aux enjeux que sont notamment l’</w:t>
                  </w:r>
                  <w:r w:rsidR="00FC3B79" w:rsidRPr="00DC3B80">
                    <w:rPr>
                      <w:rFonts w:ascii="Arial" w:eastAsia="Times New Roman" w:hAnsi="Arial" w:cs="Arial"/>
                      <w:b/>
                      <w:bCs/>
                      <w:shd w:val="clear" w:color="auto" w:fill="FFFFFF"/>
                      <w:lang w:eastAsia="fr-FR"/>
                    </w:rPr>
                    <w:t>aspiration</w:t>
                  </w:r>
                  <w:r w:rsidRPr="00DC3B80">
                    <w:rPr>
                      <w:rFonts w:ascii="Arial" w:eastAsia="Times New Roman" w:hAnsi="Arial" w:cs="Arial"/>
                      <w:b/>
                      <w:bCs/>
                      <w:shd w:val="clear" w:color="auto" w:fill="FFFFFF"/>
                      <w:lang w:eastAsia="fr-FR"/>
                    </w:rPr>
                    <w:t xml:space="preserve"> des personnes à </w:t>
                  </w:r>
                  <w:r w:rsidR="00FB1E25" w:rsidRPr="00DC3B80">
                    <w:rPr>
                      <w:rFonts w:ascii="Arial" w:eastAsia="Times New Roman" w:hAnsi="Arial" w:cs="Arial"/>
                      <w:b/>
                      <w:bCs/>
                      <w:shd w:val="clear" w:color="auto" w:fill="FFFFFF"/>
                      <w:lang w:eastAsia="fr-FR"/>
                    </w:rPr>
                    <w:t xml:space="preserve">s’inscrire </w:t>
                  </w:r>
                  <w:r w:rsidRPr="00DC3B80">
                    <w:rPr>
                      <w:rFonts w:ascii="Arial" w:eastAsia="Times New Roman" w:hAnsi="Arial" w:cs="Arial"/>
                      <w:b/>
                      <w:bCs/>
                      <w:shd w:val="clear" w:color="auto" w:fill="FFFFFF"/>
                      <w:lang w:eastAsia="fr-FR"/>
                    </w:rPr>
                    <w:t xml:space="preserve">dans </w:t>
                  </w:r>
                  <w:r w:rsidR="00FB1E25" w:rsidRPr="00DC3B80">
                    <w:rPr>
                      <w:rFonts w:ascii="Arial" w:eastAsia="Times New Roman" w:hAnsi="Arial" w:cs="Arial"/>
                      <w:b/>
                      <w:bCs/>
                      <w:shd w:val="clear" w:color="auto" w:fill="FFFFFF"/>
                      <w:lang w:eastAsia="fr-FR"/>
                    </w:rPr>
                    <w:t>un</w:t>
                  </w:r>
                  <w:r w:rsidRPr="00DC3B80">
                    <w:rPr>
                      <w:rFonts w:ascii="Arial" w:eastAsia="Times New Roman" w:hAnsi="Arial" w:cs="Arial"/>
                      <w:b/>
                      <w:bCs/>
                      <w:shd w:val="clear" w:color="auto" w:fill="FFFFFF"/>
                      <w:lang w:eastAsia="fr-FR"/>
                    </w:rPr>
                    <w:t xml:space="preserve"> parcours personnalisé vers l’emploi, avec un droit aux allers retours entre les milieux dits « ordinaire », « adapté » et « protégé »</w:t>
                  </w:r>
                  <w:r w:rsidR="00FC3B79" w:rsidRPr="00DC3B80">
                    <w:rPr>
                      <w:rFonts w:ascii="Arial" w:eastAsia="Times New Roman" w:hAnsi="Arial" w:cs="Arial"/>
                      <w:b/>
                      <w:bCs/>
                      <w:shd w:val="clear" w:color="auto" w:fill="FFFFFF"/>
                      <w:lang w:eastAsia="fr-FR"/>
                    </w:rPr>
                    <w:t>. Cette démarche vise également à aider les professionnels dans l’accompagnement de nouveaux profils de travailleurs</w:t>
                  </w:r>
                  <w:r w:rsidR="00FB1E25" w:rsidRPr="00DC3B80">
                    <w:rPr>
                      <w:rFonts w:ascii="Arial" w:eastAsia="Times New Roman" w:hAnsi="Arial" w:cs="Arial"/>
                      <w:b/>
                      <w:bCs/>
                      <w:shd w:val="clear" w:color="auto" w:fill="FFFFFF"/>
                      <w:lang w:eastAsia="fr-FR"/>
                    </w:rPr>
                    <w:t>,</w:t>
                  </w:r>
                  <w:r w:rsidR="00FC3B79" w:rsidRPr="00DC3B80">
                    <w:rPr>
                      <w:rFonts w:ascii="Arial" w:eastAsia="Times New Roman" w:hAnsi="Arial" w:cs="Arial"/>
                      <w:b/>
                      <w:bCs/>
                      <w:shd w:val="clear" w:color="auto" w:fill="FFFFFF"/>
                      <w:lang w:eastAsia="fr-FR"/>
                    </w:rPr>
                    <w:t xml:space="preserve"> notamment dans le champ</w:t>
                  </w:r>
                  <w:r w:rsidR="000209EC" w:rsidRPr="00DC3B80">
                    <w:rPr>
                      <w:rFonts w:ascii="Arial" w:eastAsia="Times New Roman" w:hAnsi="Arial" w:cs="Arial"/>
                      <w:b/>
                      <w:bCs/>
                      <w:shd w:val="clear" w:color="auto" w:fill="FFFFFF"/>
                      <w:lang w:eastAsia="fr-FR"/>
                    </w:rPr>
                    <w:t xml:space="preserve"> du</w:t>
                  </w:r>
                  <w:r w:rsidR="00FC3B79" w:rsidRPr="00DC3B80">
                    <w:rPr>
                      <w:rFonts w:ascii="Arial" w:eastAsia="Times New Roman" w:hAnsi="Arial" w:cs="Arial"/>
                      <w:b/>
                      <w:bCs/>
                      <w:shd w:val="clear" w:color="auto" w:fill="FFFFFF"/>
                      <w:lang w:eastAsia="fr-FR"/>
                    </w:rPr>
                    <w:t xml:space="preserve"> handicap psychique.</w:t>
                  </w:r>
                  <w:r w:rsidRPr="00DC3B80">
                    <w:rPr>
                      <w:rFonts w:ascii="Arial" w:eastAsia="Times New Roman" w:hAnsi="Arial" w:cs="Arial"/>
                      <w:b/>
                      <w:bCs/>
                      <w:shd w:val="clear" w:color="auto" w:fill="FFFFFF"/>
                      <w:lang w:eastAsia="fr-FR"/>
                    </w:rPr>
                    <w:t xml:space="preserve"> J’attends beaucoup des p</w:t>
                  </w:r>
                  <w:r w:rsidR="00FC3B79" w:rsidRPr="00DC3B80">
                    <w:rPr>
                      <w:rFonts w:ascii="Arial" w:eastAsia="Times New Roman" w:hAnsi="Arial" w:cs="Arial"/>
                      <w:b/>
                      <w:bCs/>
                      <w:shd w:val="clear" w:color="auto" w:fill="FFFFFF"/>
                      <w:lang w:eastAsia="fr-FR"/>
                    </w:rPr>
                    <w:t>ropositions qui émergeront des cinq</w:t>
                  </w:r>
                  <w:r w:rsidRPr="00DC3B80">
                    <w:rPr>
                      <w:rFonts w:ascii="Arial" w:eastAsia="Times New Roman" w:hAnsi="Arial" w:cs="Arial"/>
                      <w:b/>
                      <w:bCs/>
                      <w:shd w:val="clear" w:color="auto" w:fill="FFFFFF"/>
                      <w:lang w:eastAsia="fr-FR"/>
                    </w:rPr>
                    <w:t xml:space="preserve"> groupes de travail. </w:t>
                  </w:r>
                  <w:r w:rsidRPr="00DC3B80">
                    <w:rPr>
                      <w:rFonts w:ascii="Arial" w:eastAsia="Times New Roman" w:hAnsi="Arial" w:cs="Arial"/>
                      <w:b/>
                      <w:shd w:val="clear" w:color="auto" w:fill="FFFFFF"/>
                      <w:lang w:eastAsia="fr-FR"/>
                    </w:rPr>
                    <w:t>»</w:t>
                  </w:r>
                </w:p>
                <w:p w:rsidR="00DC3B80" w:rsidRPr="00DC3B80" w:rsidRDefault="00DC3B80" w:rsidP="00DC3B80">
                  <w:pPr>
                    <w:spacing w:after="0" w:line="276" w:lineRule="auto"/>
                    <w:jc w:val="both"/>
                    <w:rPr>
                      <w:rFonts w:ascii="Arial" w:eastAsia="Times New Roman" w:hAnsi="Arial" w:cs="Arial"/>
                      <w:shd w:val="clear" w:color="auto" w:fill="FFFFFF"/>
                      <w:lang w:eastAsia="fr-FR"/>
                    </w:rPr>
                  </w:pPr>
                </w:p>
                <w:p w:rsidR="00FC3B79" w:rsidRPr="00DC3B80" w:rsidRDefault="00FC3B79" w:rsidP="00DC3B80">
                  <w:pPr>
                    <w:spacing w:after="120" w:line="276" w:lineRule="auto"/>
                    <w:jc w:val="both"/>
                    <w:rPr>
                      <w:rFonts w:ascii="Arial" w:hAnsi="Arial" w:cs="Arial"/>
                    </w:rPr>
                  </w:pPr>
                  <w:r w:rsidRPr="00DC3B80">
                    <w:rPr>
                      <w:rFonts w:ascii="Arial" w:eastAsia="Times New Roman" w:hAnsi="Arial" w:cs="Arial"/>
                      <w:shd w:val="clear" w:color="auto" w:fill="FFFFFF"/>
                      <w:lang w:eastAsia="fr-FR"/>
                    </w:rPr>
                    <w:t xml:space="preserve">Cette concertation s’articule en parallèle avec la mise en œuvre d’une mesure conjoncturelle d’urgence liée à la situation économique actuelle. </w:t>
                  </w:r>
                </w:p>
                <w:p w:rsidR="00901C17" w:rsidRPr="00DC3B80" w:rsidRDefault="008951DE" w:rsidP="00DC3B80">
                  <w:pPr>
                    <w:spacing w:after="120" w:line="276" w:lineRule="auto"/>
                    <w:jc w:val="both"/>
                    <w:rPr>
                      <w:rFonts w:ascii="Arial" w:eastAsia="Times New Roman" w:hAnsi="Arial" w:cs="Arial"/>
                      <w:lang w:eastAsia="fr-FR"/>
                    </w:rPr>
                  </w:pPr>
                  <w:r w:rsidRPr="00DC3B80">
                    <w:rPr>
                      <w:rFonts w:ascii="Arial" w:eastAsia="Times New Roman" w:hAnsi="Arial" w:cs="Arial"/>
                      <w:lang w:eastAsia="fr-FR"/>
                    </w:rPr>
                    <w:t xml:space="preserve">Les </w:t>
                  </w:r>
                  <w:r w:rsidR="00901C17" w:rsidRPr="00DC3B80">
                    <w:rPr>
                      <w:rFonts w:ascii="Arial" w:eastAsia="Times New Roman" w:hAnsi="Arial" w:cs="Arial"/>
                      <w:lang w:eastAsia="fr-FR"/>
                    </w:rPr>
                    <w:t xml:space="preserve">1500 </w:t>
                  </w:r>
                  <w:r w:rsidRPr="00DC3B80">
                    <w:rPr>
                      <w:rFonts w:ascii="Arial" w:eastAsia="Times New Roman" w:hAnsi="Arial" w:cs="Arial"/>
                      <w:lang w:eastAsia="fr-FR"/>
                    </w:rPr>
                    <w:t>E</w:t>
                  </w:r>
                  <w:r w:rsidR="00901C17" w:rsidRPr="00DC3B80">
                    <w:rPr>
                      <w:rFonts w:ascii="Arial" w:eastAsia="Times New Roman" w:hAnsi="Arial" w:cs="Arial"/>
                      <w:lang w:eastAsia="fr-FR"/>
                    </w:rPr>
                    <w:t>SAT, qui proposent une activité professionnelle à 120 000 personnes en situation de handicap avec un accompagnement social renforcé, perçoivent,</w:t>
                  </w:r>
                  <w:r w:rsidRPr="00DC3B80">
                    <w:rPr>
                      <w:rFonts w:ascii="Arial" w:eastAsia="Times New Roman" w:hAnsi="Arial" w:cs="Arial"/>
                      <w:lang w:eastAsia="fr-FR"/>
                    </w:rPr>
                    <w:t xml:space="preserve"> </w:t>
                  </w:r>
                  <w:r w:rsidR="00901C17" w:rsidRPr="00DC3B80">
                    <w:rPr>
                      <w:rFonts w:ascii="Arial" w:eastAsia="Times New Roman" w:hAnsi="Arial" w:cs="Arial"/>
                      <w:lang w:eastAsia="fr-FR"/>
                    </w:rPr>
                    <w:t xml:space="preserve">de la part du gouvernement et </w:t>
                  </w:r>
                  <w:r w:rsidRPr="00DC3B80">
                    <w:rPr>
                      <w:rFonts w:ascii="Arial" w:eastAsia="Times New Roman" w:hAnsi="Arial" w:cs="Arial"/>
                      <w:lang w:eastAsia="fr-FR"/>
                    </w:rPr>
                    <w:t xml:space="preserve">en sus du chiffre d’affaire généré par l’activité commerciale, une dotation globale de fonctionnement relative à l’accompagnement social dispensé et une aide au poste permettant de prendre en charge la rémunération du travailleur </w:t>
                  </w:r>
                  <w:r w:rsidR="00EA549E" w:rsidRPr="00DC3B80">
                    <w:rPr>
                      <w:rFonts w:ascii="Arial" w:eastAsia="Times New Roman" w:hAnsi="Arial" w:cs="Arial"/>
                      <w:lang w:eastAsia="fr-FR"/>
                    </w:rPr>
                    <w:t xml:space="preserve">à hauteur de 50,7% du </w:t>
                  </w:r>
                  <w:r w:rsidR="00FB1E25" w:rsidRPr="00DC3B80">
                    <w:rPr>
                      <w:rFonts w:ascii="Arial" w:eastAsia="Times New Roman" w:hAnsi="Arial" w:cs="Arial"/>
                      <w:lang w:eastAsia="fr-FR"/>
                    </w:rPr>
                    <w:t>SMIC</w:t>
                  </w:r>
                  <w:r w:rsidR="00901C17" w:rsidRPr="00DC3B80">
                    <w:rPr>
                      <w:rFonts w:ascii="Arial" w:eastAsia="Times New Roman" w:hAnsi="Arial" w:cs="Arial"/>
                      <w:lang w:eastAsia="fr-FR"/>
                    </w:rPr>
                    <w:t xml:space="preserve">, </w:t>
                  </w:r>
                  <w:r w:rsidRPr="00DC3B80">
                    <w:rPr>
                      <w:rFonts w:ascii="Arial" w:eastAsia="Times New Roman" w:hAnsi="Arial" w:cs="Arial"/>
                      <w:lang w:eastAsia="fr-FR"/>
                    </w:rPr>
                    <w:t xml:space="preserve">la part prise en charge par l’établissement étant </w:t>
                  </w:r>
                  <w:r w:rsidR="00901C17" w:rsidRPr="00DC3B80">
                    <w:rPr>
                      <w:rFonts w:ascii="Arial" w:eastAsia="Times New Roman" w:hAnsi="Arial" w:cs="Arial"/>
                      <w:lang w:eastAsia="fr-FR"/>
                    </w:rPr>
                    <w:t xml:space="preserve">en moyenne de 10% du </w:t>
                  </w:r>
                  <w:r w:rsidR="00FB1E25" w:rsidRPr="00DC3B80">
                    <w:rPr>
                      <w:rFonts w:ascii="Arial" w:eastAsia="Times New Roman" w:hAnsi="Arial" w:cs="Arial"/>
                      <w:lang w:eastAsia="fr-FR"/>
                    </w:rPr>
                    <w:t>SMIC</w:t>
                  </w:r>
                  <w:r w:rsidR="00EA549E" w:rsidRPr="00DC3B80">
                    <w:rPr>
                      <w:rFonts w:ascii="Arial" w:eastAsia="Times New Roman" w:hAnsi="Arial" w:cs="Arial"/>
                      <w:lang w:eastAsia="fr-FR"/>
                    </w:rPr>
                    <w:t xml:space="preserve">. </w:t>
                  </w:r>
                  <w:r w:rsidRPr="00DC3B80">
                    <w:rPr>
                      <w:rFonts w:ascii="Arial" w:eastAsia="Times New Roman" w:hAnsi="Arial" w:cs="Arial"/>
                      <w:lang w:eastAsia="fr-FR"/>
                    </w:rPr>
                    <w:t xml:space="preserve"> </w:t>
                  </w:r>
                </w:p>
                <w:p w:rsidR="00E263E2" w:rsidRPr="00DC3B80" w:rsidRDefault="000F5D1A" w:rsidP="00DC3B80">
                  <w:pPr>
                    <w:spacing w:after="120" w:line="276" w:lineRule="auto"/>
                    <w:jc w:val="both"/>
                    <w:rPr>
                      <w:rFonts w:ascii="Arial" w:eastAsia="Times New Roman" w:hAnsi="Arial" w:cs="Arial"/>
                      <w:lang w:eastAsia="fr-FR"/>
                    </w:rPr>
                  </w:pPr>
                  <w:r w:rsidRPr="00DC3B80">
                    <w:rPr>
                      <w:rFonts w:ascii="Arial" w:eastAsia="Times New Roman" w:hAnsi="Arial" w:cs="Arial"/>
                      <w:lang w:eastAsia="fr-FR"/>
                    </w:rPr>
                    <w:t xml:space="preserve">Face aux circonstances liées à la crise sanitaire, le Gouvernement a déployé un dispositif de soutien exceptionnel </w:t>
                  </w:r>
                  <w:r w:rsidR="00520520" w:rsidRPr="00DC3B80">
                    <w:rPr>
                      <w:rFonts w:ascii="Arial" w:eastAsia="Times New Roman" w:hAnsi="Arial" w:cs="Arial"/>
                      <w:lang w:eastAsia="fr-FR"/>
                    </w:rPr>
                    <w:t xml:space="preserve">de 160 millions </w:t>
                  </w:r>
                  <w:r w:rsidRPr="00DC3B80">
                    <w:rPr>
                      <w:rFonts w:ascii="Arial" w:eastAsia="Times New Roman" w:hAnsi="Arial" w:cs="Arial"/>
                      <w:lang w:eastAsia="fr-FR"/>
                    </w:rPr>
                    <w:t>de mars 2020 jusqu’</w:t>
                  </w:r>
                  <w:r w:rsidR="00901C17" w:rsidRPr="00DC3B80">
                    <w:rPr>
                      <w:rFonts w:ascii="Arial" w:eastAsia="Times New Roman" w:hAnsi="Arial" w:cs="Arial"/>
                      <w:lang w:eastAsia="fr-FR"/>
                    </w:rPr>
                    <w:t>au 10 octobre 2020</w:t>
                  </w:r>
                  <w:r w:rsidRPr="00DC3B80">
                    <w:rPr>
                      <w:rFonts w:ascii="Arial" w:eastAsia="Times New Roman" w:hAnsi="Arial" w:cs="Arial"/>
                      <w:lang w:eastAsia="fr-FR"/>
                    </w:rPr>
                    <w:t xml:space="preserve">. Cette mesure est </w:t>
                  </w:r>
                  <w:r w:rsidR="006243F2">
                    <w:rPr>
                      <w:rFonts w:ascii="Arial" w:eastAsia="Times New Roman" w:hAnsi="Arial" w:cs="Arial"/>
                      <w:lang w:eastAsia="fr-FR"/>
                    </w:rPr>
                    <w:t xml:space="preserve">intervenue de façon forfaitaire </w:t>
                  </w:r>
                  <w:r w:rsidRPr="00DC3B80">
                    <w:rPr>
                      <w:rFonts w:ascii="Arial" w:eastAsia="Times New Roman" w:hAnsi="Arial" w:cs="Arial"/>
                      <w:lang w:eastAsia="fr-FR"/>
                    </w:rPr>
                    <w:t xml:space="preserve">et systématique pour l’ensemble des </w:t>
                  </w:r>
                  <w:r w:rsidR="000D66E6" w:rsidRPr="00DC3B80">
                    <w:rPr>
                      <w:rFonts w:ascii="Arial" w:eastAsia="Times New Roman" w:hAnsi="Arial" w:cs="Arial"/>
                      <w:lang w:eastAsia="fr-FR"/>
                    </w:rPr>
                    <w:t>ESAT.</w:t>
                  </w:r>
                  <w:r w:rsidRPr="00DC3B80">
                    <w:rPr>
                      <w:rFonts w:ascii="Arial" w:eastAsia="Times New Roman" w:hAnsi="Arial" w:cs="Arial"/>
                      <w:lang w:eastAsia="fr-FR"/>
                    </w:rPr>
                    <w:t xml:space="preserve"> </w:t>
                  </w:r>
                  <w:r w:rsidR="00520520" w:rsidRPr="00DC3B80">
                    <w:rPr>
                      <w:rFonts w:ascii="Arial" w:eastAsia="Times New Roman" w:hAnsi="Arial" w:cs="Arial"/>
                      <w:lang w:eastAsia="fr-FR"/>
                    </w:rPr>
                    <w:t xml:space="preserve">Cette mesure mise en œuvre par l’Etat a </w:t>
                  </w:r>
                  <w:r w:rsidRPr="00DC3B80">
                    <w:rPr>
                      <w:rFonts w:ascii="Arial" w:eastAsia="Times New Roman" w:hAnsi="Arial" w:cs="Arial"/>
                      <w:lang w:eastAsia="fr-FR"/>
                    </w:rPr>
                    <w:t xml:space="preserve">permis à une majorité d’établissements qui ont vu leur chiffre d’affaires commercial </w:t>
                  </w:r>
                  <w:r w:rsidR="00520520" w:rsidRPr="00DC3B80">
                    <w:rPr>
                      <w:rFonts w:ascii="Arial" w:eastAsia="Times New Roman" w:hAnsi="Arial" w:cs="Arial"/>
                      <w:lang w:eastAsia="fr-FR"/>
                    </w:rPr>
                    <w:t>diminuer</w:t>
                  </w:r>
                  <w:r w:rsidRPr="00DC3B80">
                    <w:rPr>
                      <w:rFonts w:ascii="Arial" w:eastAsia="Times New Roman" w:hAnsi="Arial" w:cs="Arial"/>
                      <w:lang w:eastAsia="fr-FR"/>
                    </w:rPr>
                    <w:t xml:space="preserve">, de maintenir un résultat positif. </w:t>
                  </w:r>
                  <w:r w:rsidR="00DA7A80" w:rsidRPr="00DC3B80">
                    <w:rPr>
                      <w:rFonts w:ascii="Arial" w:eastAsia="Times New Roman" w:hAnsi="Arial" w:cs="Arial"/>
                      <w:lang w:eastAsia="fr-FR"/>
                    </w:rPr>
                    <w:t>Un effort a été également réalisé pour sécuriser les montants de dotation de fonctionnement des établissements sans tenir compte d’un éventuel taux d’occupation moindre lié à la crise sanitaire.</w:t>
                  </w:r>
                  <w:r w:rsidR="00861080" w:rsidRPr="00DC3B80">
                    <w:rPr>
                      <w:rFonts w:ascii="Arial" w:eastAsia="Times New Roman" w:hAnsi="Arial" w:cs="Arial"/>
                      <w:lang w:eastAsia="fr-FR"/>
                    </w:rPr>
                    <w:t xml:space="preserve"> Ce dispositif a été reconduit après le 10 octobre et</w:t>
                  </w:r>
                  <w:r w:rsidR="006243F2">
                    <w:rPr>
                      <w:rFonts w:ascii="Arial" w:eastAsia="Times New Roman" w:hAnsi="Arial" w:cs="Arial"/>
                      <w:lang w:eastAsia="fr-FR"/>
                    </w:rPr>
                    <w:t xml:space="preserve"> reste actuellement en vigueur. </w:t>
                  </w:r>
                  <w:r w:rsidRPr="00DC3B80">
                    <w:rPr>
                      <w:rFonts w:ascii="Arial" w:eastAsia="Times New Roman" w:hAnsi="Arial" w:cs="Arial"/>
                      <w:lang w:eastAsia="fr-FR"/>
                    </w:rPr>
                    <w:t>S’agissant des surcoûts et de l’achat des équipements de protection individuelle, à l’inverse des Entreprises Adaptées (EA), les établissements n’ont pas eu à assumer ces dépenses qui ont été pris en charge par les Agence</w:t>
                  </w:r>
                  <w:r w:rsidR="00520520" w:rsidRPr="00DC3B80">
                    <w:rPr>
                      <w:rFonts w:ascii="Arial" w:eastAsia="Times New Roman" w:hAnsi="Arial" w:cs="Arial"/>
                      <w:lang w:eastAsia="fr-FR"/>
                    </w:rPr>
                    <w:t>s</w:t>
                  </w:r>
                  <w:r w:rsidRPr="00DC3B80">
                    <w:rPr>
                      <w:rFonts w:ascii="Arial" w:eastAsia="Times New Roman" w:hAnsi="Arial" w:cs="Arial"/>
                      <w:lang w:eastAsia="fr-FR"/>
                    </w:rPr>
                    <w:t xml:space="preserve"> Régionale</w:t>
                  </w:r>
                  <w:r w:rsidR="00520520" w:rsidRPr="00DC3B80">
                    <w:rPr>
                      <w:rFonts w:ascii="Arial" w:eastAsia="Times New Roman" w:hAnsi="Arial" w:cs="Arial"/>
                      <w:lang w:eastAsia="fr-FR"/>
                    </w:rPr>
                    <w:t>s</w:t>
                  </w:r>
                  <w:r w:rsidRPr="00DC3B80">
                    <w:rPr>
                      <w:rFonts w:ascii="Arial" w:eastAsia="Times New Roman" w:hAnsi="Arial" w:cs="Arial"/>
                      <w:lang w:eastAsia="fr-FR"/>
                    </w:rPr>
                    <w:t xml:space="preserve"> de Santé</w:t>
                  </w:r>
                  <w:r w:rsidR="00520520" w:rsidRPr="00DC3B80">
                    <w:rPr>
                      <w:rFonts w:ascii="Arial" w:eastAsia="Times New Roman" w:hAnsi="Arial" w:cs="Arial"/>
                      <w:lang w:eastAsia="fr-FR"/>
                    </w:rPr>
                    <w:t xml:space="preserve"> (ARS</w:t>
                  </w:r>
                  <w:r w:rsidRPr="00DC3B80">
                    <w:rPr>
                      <w:rFonts w:ascii="Arial" w:eastAsia="Times New Roman" w:hAnsi="Arial" w:cs="Arial"/>
                      <w:lang w:eastAsia="fr-FR"/>
                    </w:rPr>
                    <w:t xml:space="preserve">). </w:t>
                  </w:r>
                </w:p>
                <w:p w:rsidR="00F70376" w:rsidRPr="00DC3B80" w:rsidRDefault="00742E4A" w:rsidP="00DC3B80">
                  <w:pPr>
                    <w:spacing w:after="120" w:line="276" w:lineRule="auto"/>
                    <w:jc w:val="both"/>
                    <w:rPr>
                      <w:rFonts w:ascii="Arial" w:hAnsi="Arial" w:cs="Arial"/>
                      <w:b/>
                    </w:rPr>
                  </w:pPr>
                  <w:r w:rsidRPr="00DC3B80">
                    <w:rPr>
                      <w:rFonts w:ascii="Arial" w:hAnsi="Arial" w:cs="Arial"/>
                      <w:b/>
                    </w:rPr>
                    <w:t xml:space="preserve">Pour Sophie </w:t>
                  </w:r>
                  <w:proofErr w:type="spellStart"/>
                  <w:r w:rsidRPr="00DC3B80">
                    <w:rPr>
                      <w:rFonts w:ascii="Arial" w:hAnsi="Arial" w:cs="Arial"/>
                      <w:b/>
                    </w:rPr>
                    <w:t>Cluzel</w:t>
                  </w:r>
                  <w:proofErr w:type="spellEnd"/>
                  <w:r w:rsidRPr="00DC3B80">
                    <w:rPr>
                      <w:rFonts w:ascii="Arial" w:hAnsi="Arial" w:cs="Arial"/>
                      <w:b/>
                    </w:rPr>
                    <w:t xml:space="preserve"> : « la nécessité d’un accompagnement de l’Etat concerne </w:t>
                  </w:r>
                  <w:r w:rsidR="00734E9E" w:rsidRPr="00DC3B80">
                    <w:rPr>
                      <w:rFonts w:ascii="Arial" w:hAnsi="Arial" w:cs="Arial"/>
                      <w:b/>
                    </w:rPr>
                    <w:t>aujourd’hui</w:t>
                  </w:r>
                  <w:r w:rsidRPr="00DC3B80">
                    <w:rPr>
                      <w:rFonts w:ascii="Arial" w:hAnsi="Arial" w:cs="Arial"/>
                      <w:b/>
                    </w:rPr>
                    <w:t xml:space="preserve"> prioritairement les établissemen</w:t>
                  </w:r>
                  <w:r w:rsidR="00734E9E" w:rsidRPr="00DC3B80">
                    <w:rPr>
                      <w:rFonts w:ascii="Arial" w:hAnsi="Arial" w:cs="Arial"/>
                      <w:b/>
                    </w:rPr>
                    <w:t>ts dont l’activité principale</w:t>
                  </w:r>
                  <w:r w:rsidRPr="00DC3B80">
                    <w:rPr>
                      <w:rFonts w:ascii="Arial" w:hAnsi="Arial" w:cs="Arial"/>
                      <w:b/>
                    </w:rPr>
                    <w:t xml:space="preserve"> </w:t>
                  </w:r>
                  <w:r w:rsidR="00710B7F" w:rsidRPr="00DC3B80">
                    <w:rPr>
                      <w:rFonts w:ascii="Arial" w:hAnsi="Arial" w:cs="Arial"/>
                      <w:b/>
                    </w:rPr>
                    <w:t xml:space="preserve">est arrêtée </w:t>
                  </w:r>
                  <w:r w:rsidR="00FD0DAD" w:rsidRPr="00DC3B80">
                    <w:rPr>
                      <w:rFonts w:ascii="Arial" w:hAnsi="Arial" w:cs="Arial"/>
                      <w:b/>
                    </w:rPr>
                    <w:t xml:space="preserve">ou </w:t>
                  </w:r>
                  <w:r w:rsidR="00F70376" w:rsidRPr="00DC3B80">
                    <w:rPr>
                      <w:rFonts w:ascii="Arial" w:hAnsi="Arial" w:cs="Arial"/>
                      <w:b/>
                    </w:rPr>
                    <w:t xml:space="preserve">fortement limitée. Préserver la rémunération des travailleurs d’ESAT est une priorité afin qu’ils ne soient pas </w:t>
                  </w:r>
                  <w:r w:rsidR="002A686D" w:rsidRPr="00DC3B80">
                    <w:rPr>
                      <w:rFonts w:ascii="Arial" w:hAnsi="Arial" w:cs="Arial"/>
                      <w:b/>
                    </w:rPr>
                    <w:t>impactés dans leur vie quotidienne</w:t>
                  </w:r>
                  <w:r w:rsidR="00E31740" w:rsidRPr="00DC3B80">
                    <w:rPr>
                      <w:rFonts w:ascii="Arial" w:hAnsi="Arial" w:cs="Arial"/>
                      <w:b/>
                    </w:rPr>
                    <w:t>.</w:t>
                  </w:r>
                  <w:r w:rsidR="002A686D" w:rsidRPr="00DC3B80">
                    <w:rPr>
                      <w:rFonts w:ascii="Arial" w:hAnsi="Arial" w:cs="Arial"/>
                      <w:b/>
                    </w:rPr>
                    <w:t xml:space="preserve"> </w:t>
                  </w:r>
                  <w:r w:rsidR="00F70376" w:rsidRPr="00DC3B80">
                    <w:rPr>
                      <w:rFonts w:ascii="Arial" w:hAnsi="Arial" w:cs="Arial"/>
                      <w:b/>
                    </w:rPr>
                    <w:t>»</w:t>
                  </w:r>
                  <w:r w:rsidRPr="00DC3B80">
                    <w:rPr>
                      <w:rFonts w:ascii="Arial" w:hAnsi="Arial" w:cs="Arial"/>
                      <w:b/>
                    </w:rPr>
                    <w:t xml:space="preserve"> </w:t>
                  </w:r>
                </w:p>
                <w:p w:rsidR="00F70376" w:rsidRPr="00DC3B80" w:rsidRDefault="00F70376" w:rsidP="00DC3B80">
                  <w:pPr>
                    <w:spacing w:after="120" w:line="276" w:lineRule="auto"/>
                    <w:jc w:val="both"/>
                    <w:rPr>
                      <w:rFonts w:ascii="Arial" w:hAnsi="Arial" w:cs="Arial"/>
                    </w:rPr>
                  </w:pPr>
                  <w:r w:rsidRPr="00DC3B80">
                    <w:rPr>
                      <w:rFonts w:ascii="Arial" w:hAnsi="Arial" w:cs="Arial"/>
                    </w:rPr>
                    <w:t xml:space="preserve">Une sanctuarisation de 10 millions d’euros a été constituée dans cette perspective. </w:t>
                  </w:r>
                  <w:r w:rsidR="002A686D" w:rsidRPr="00DC3B80">
                    <w:rPr>
                      <w:rFonts w:ascii="Arial" w:hAnsi="Arial" w:cs="Arial"/>
                    </w:rPr>
                    <w:t xml:space="preserve">Les </w:t>
                  </w:r>
                  <w:r w:rsidR="004B1866" w:rsidRPr="00DC3B80">
                    <w:rPr>
                      <w:rFonts w:ascii="Arial" w:hAnsi="Arial" w:cs="Arial"/>
                    </w:rPr>
                    <w:t xml:space="preserve">ESAT </w:t>
                  </w:r>
                  <w:r w:rsidR="002A686D" w:rsidRPr="00DC3B80">
                    <w:rPr>
                      <w:rFonts w:ascii="Arial" w:hAnsi="Arial" w:cs="Arial"/>
                    </w:rPr>
                    <w:t xml:space="preserve">sont invités à faire connaître leur situation, sur la base d’un dossier qui leur a été adressé, auprès de leurs ARS de rattachement d’ici le 12 février 2021. </w:t>
                  </w:r>
                  <w:r w:rsidRPr="00DC3B80">
                    <w:rPr>
                      <w:rFonts w:ascii="Arial" w:hAnsi="Arial" w:cs="Arial"/>
                    </w:rPr>
                    <w:t xml:space="preserve">Il s’agit notamment des </w:t>
                  </w:r>
                  <w:r w:rsidR="004B1866" w:rsidRPr="00DC3B80">
                    <w:rPr>
                      <w:rFonts w:ascii="Arial" w:hAnsi="Arial" w:cs="Arial"/>
                    </w:rPr>
                    <w:t xml:space="preserve">ESAT </w:t>
                  </w:r>
                  <w:r w:rsidRPr="00DC3B80">
                    <w:rPr>
                      <w:rFonts w:ascii="Arial" w:hAnsi="Arial" w:cs="Arial"/>
                    </w:rPr>
                    <w:t>qui sont positionnés sur une mono-activité fortement impactée par la crise sanitaire : restauration traiteur, tourisme, sous-traitance sur des filières industrielles telles que l’aéronautique et qui ne possèdent pas le soutien d’un organisme gestionnaire qui pourrait compenser les pertes par d’autres activités ou par la mobilisation de sa propre trésorerie</w:t>
                  </w:r>
                  <w:r w:rsidR="00FC3B79" w:rsidRPr="00DC3B80">
                    <w:rPr>
                      <w:rFonts w:ascii="Arial" w:hAnsi="Arial" w:cs="Arial"/>
                    </w:rPr>
                    <w:t>.</w:t>
                  </w:r>
                  <w:bookmarkStart w:id="0" w:name="_GoBack"/>
                  <w:bookmarkEnd w:id="0"/>
                </w:p>
                <w:p w:rsidR="00DC3B80" w:rsidRPr="006243F2" w:rsidRDefault="00DC3B80" w:rsidP="006243F2">
                  <w:pPr>
                    <w:spacing w:before="240" w:after="0" w:line="276" w:lineRule="auto"/>
                    <w:rPr>
                      <w:rFonts w:ascii="Arial" w:hAnsi="Arial" w:cs="Arial"/>
                    </w:rPr>
                  </w:pPr>
                  <w:r w:rsidRPr="006243F2">
                    <w:rPr>
                      <w:rFonts w:ascii="Arial" w:hAnsi="Arial" w:cs="Arial"/>
                      <w:color w:val="000000" w:themeColor="text1"/>
                    </w:rPr>
                    <w:t>Contact presse Secrétariat d’Etat chargé des Personnes handicapées</w:t>
                  </w:r>
                </w:p>
                <w:p w:rsidR="00DC3B80" w:rsidRPr="006243F2" w:rsidRDefault="006243F2" w:rsidP="006243F2">
                  <w:pPr>
                    <w:spacing w:after="0" w:line="276" w:lineRule="auto"/>
                    <w:rPr>
                      <w:rFonts w:ascii="Arial" w:hAnsi="Arial" w:cs="Arial"/>
                      <w:b/>
                      <w:color w:val="0563C1" w:themeColor="hyperlink"/>
                      <w:u w:val="single"/>
                    </w:rPr>
                  </w:pPr>
                  <w:hyperlink r:id="rId8" w:history="1">
                    <w:r w:rsidR="00DC3B80" w:rsidRPr="006243F2">
                      <w:rPr>
                        <w:rStyle w:val="Lienhypertexte"/>
                        <w:rFonts w:ascii="Arial" w:hAnsi="Arial" w:cs="Arial"/>
                        <w:b/>
                      </w:rPr>
                      <w:t>seph.communication@pm.gouv.fr</w:t>
                    </w:r>
                  </w:hyperlink>
                </w:p>
                <w:p w:rsidR="00DC3B80" w:rsidRPr="00DC3B80" w:rsidRDefault="00DC3B80" w:rsidP="00DC3B80">
                  <w:pPr>
                    <w:spacing w:after="120" w:line="276" w:lineRule="auto"/>
                    <w:jc w:val="both"/>
                    <w:rPr>
                      <w:rFonts w:ascii="Arial" w:hAnsi="Arial" w:cs="Arial"/>
                    </w:rPr>
                  </w:pPr>
                </w:p>
                <w:p w:rsidR="00FC3B79" w:rsidRPr="00DC3B80" w:rsidRDefault="00FC3B79" w:rsidP="00DC3B80">
                  <w:pPr>
                    <w:spacing w:after="120" w:line="276" w:lineRule="auto"/>
                    <w:jc w:val="both"/>
                    <w:rPr>
                      <w:rFonts w:ascii="Arial" w:hAnsi="Arial" w:cs="Arial"/>
                    </w:rPr>
                  </w:pPr>
                </w:p>
                <w:p w:rsidR="00B06D3D" w:rsidRPr="00DC3B80" w:rsidRDefault="00B06D3D" w:rsidP="00DC3B80">
                  <w:pPr>
                    <w:widowControl w:val="0"/>
                    <w:autoSpaceDE w:val="0"/>
                    <w:autoSpaceDN w:val="0"/>
                    <w:spacing w:after="120" w:line="276" w:lineRule="auto"/>
                    <w:ind w:right="59"/>
                    <w:jc w:val="both"/>
                    <w:rPr>
                      <w:rFonts w:ascii="Arial" w:hAnsi="Arial" w:cs="Arial"/>
                    </w:rPr>
                  </w:pPr>
                </w:p>
                <w:p w:rsidR="00B06D3D" w:rsidRPr="00DC3B80" w:rsidRDefault="00B06D3D" w:rsidP="00DC3B80">
                  <w:pPr>
                    <w:widowControl w:val="0"/>
                    <w:autoSpaceDE w:val="0"/>
                    <w:autoSpaceDN w:val="0"/>
                    <w:spacing w:after="120" w:line="276" w:lineRule="auto"/>
                    <w:ind w:right="59"/>
                    <w:jc w:val="both"/>
                    <w:rPr>
                      <w:rFonts w:ascii="Arial" w:eastAsia="Times New Roman" w:hAnsi="Arial" w:cs="Arial"/>
                      <w:b/>
                      <w:bCs/>
                      <w:spacing w:val="-11"/>
                      <w:lang w:eastAsia="fr-FR"/>
                    </w:rPr>
                  </w:pPr>
                </w:p>
              </w:tc>
            </w:tr>
          </w:tbl>
          <w:p w:rsidR="00B06D3D" w:rsidRPr="00DC3B80" w:rsidRDefault="00B06D3D" w:rsidP="00DC3B80">
            <w:pPr>
              <w:spacing w:line="276" w:lineRule="auto"/>
              <w:jc w:val="both"/>
              <w:rPr>
                <w:rFonts w:ascii="Arial" w:eastAsia="Times New Roman" w:hAnsi="Arial" w:cs="Arial"/>
                <w:lang w:eastAsia="fr-FR"/>
              </w:rPr>
            </w:pPr>
          </w:p>
        </w:tc>
      </w:tr>
    </w:tbl>
    <w:p w:rsidR="004E1798" w:rsidRPr="00DC3B80" w:rsidRDefault="006243F2">
      <w:pPr>
        <w:rPr>
          <w:rFonts w:ascii="Arial" w:hAnsi="Arial" w:cs="Arial"/>
        </w:rPr>
      </w:pPr>
    </w:p>
    <w:sectPr w:rsidR="004E1798" w:rsidRPr="00DC3B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80" w:rsidRDefault="00DC3B80" w:rsidP="00DC3B80">
      <w:pPr>
        <w:spacing w:after="0" w:line="240" w:lineRule="auto"/>
      </w:pPr>
      <w:r>
        <w:separator/>
      </w:r>
    </w:p>
  </w:endnote>
  <w:endnote w:type="continuationSeparator" w:id="0">
    <w:p w:rsidR="00DC3B80" w:rsidRDefault="00DC3B80" w:rsidP="00DC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236532"/>
      <w:docPartObj>
        <w:docPartGallery w:val="Page Numbers (Bottom of Page)"/>
        <w:docPartUnique/>
      </w:docPartObj>
    </w:sdtPr>
    <w:sdtEndPr/>
    <w:sdtContent>
      <w:p w:rsidR="00DC3B80" w:rsidRDefault="00DC3B80">
        <w:pPr>
          <w:pStyle w:val="Pieddepage"/>
          <w:jc w:val="right"/>
        </w:pPr>
        <w:r>
          <w:fldChar w:fldCharType="begin"/>
        </w:r>
        <w:r>
          <w:instrText>PAGE   \* MERGEFORMAT</w:instrText>
        </w:r>
        <w:r>
          <w:fldChar w:fldCharType="separate"/>
        </w:r>
        <w:r w:rsidR="006243F2">
          <w:rPr>
            <w:noProof/>
          </w:rPr>
          <w:t>3</w:t>
        </w:r>
        <w:r>
          <w:fldChar w:fldCharType="end"/>
        </w:r>
      </w:p>
    </w:sdtContent>
  </w:sdt>
  <w:p w:rsidR="00DC3B80" w:rsidRDefault="00DC3B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80" w:rsidRDefault="00DC3B80" w:rsidP="00DC3B80">
      <w:pPr>
        <w:spacing w:after="0" w:line="240" w:lineRule="auto"/>
      </w:pPr>
      <w:r>
        <w:separator/>
      </w:r>
    </w:p>
  </w:footnote>
  <w:footnote w:type="continuationSeparator" w:id="0">
    <w:p w:rsidR="00DC3B80" w:rsidRDefault="00DC3B80" w:rsidP="00DC3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E94"/>
    <w:multiLevelType w:val="hybridMultilevel"/>
    <w:tmpl w:val="86EA2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B01BA"/>
    <w:multiLevelType w:val="hybridMultilevel"/>
    <w:tmpl w:val="BD166762"/>
    <w:lvl w:ilvl="0" w:tplc="A5401D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3D"/>
    <w:rsid w:val="000209EC"/>
    <w:rsid w:val="00076D4F"/>
    <w:rsid w:val="000D66E6"/>
    <w:rsid w:val="000F166B"/>
    <w:rsid w:val="000F5D1A"/>
    <w:rsid w:val="0017176C"/>
    <w:rsid w:val="002A686D"/>
    <w:rsid w:val="00352A11"/>
    <w:rsid w:val="0035589D"/>
    <w:rsid w:val="00360D80"/>
    <w:rsid w:val="00433735"/>
    <w:rsid w:val="004621C5"/>
    <w:rsid w:val="00484B9D"/>
    <w:rsid w:val="004B1866"/>
    <w:rsid w:val="00520520"/>
    <w:rsid w:val="006243F2"/>
    <w:rsid w:val="00710B7F"/>
    <w:rsid w:val="00734E9E"/>
    <w:rsid w:val="00742E4A"/>
    <w:rsid w:val="008106A4"/>
    <w:rsid w:val="0082124E"/>
    <w:rsid w:val="00861080"/>
    <w:rsid w:val="008951DE"/>
    <w:rsid w:val="00901C17"/>
    <w:rsid w:val="00916DB0"/>
    <w:rsid w:val="00923EFE"/>
    <w:rsid w:val="009D23F4"/>
    <w:rsid w:val="00A3509E"/>
    <w:rsid w:val="00B06D3D"/>
    <w:rsid w:val="00C312C7"/>
    <w:rsid w:val="00DA7A80"/>
    <w:rsid w:val="00DB517E"/>
    <w:rsid w:val="00DC3B80"/>
    <w:rsid w:val="00E263E2"/>
    <w:rsid w:val="00E31740"/>
    <w:rsid w:val="00E76374"/>
    <w:rsid w:val="00EA549E"/>
    <w:rsid w:val="00EC28E7"/>
    <w:rsid w:val="00F70376"/>
    <w:rsid w:val="00F83841"/>
    <w:rsid w:val="00FB1E25"/>
    <w:rsid w:val="00FC3B79"/>
    <w:rsid w:val="00FD0DAD"/>
    <w:rsid w:val="00FE4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F078"/>
  <w15:chartTrackingRefBased/>
  <w15:docId w15:val="{E78A5699-8B3B-401A-9C3A-988F3812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3E2"/>
    <w:pPr>
      <w:ind w:left="720"/>
      <w:contextualSpacing/>
    </w:pPr>
  </w:style>
  <w:style w:type="character" w:styleId="Lienhypertexte">
    <w:name w:val="Hyperlink"/>
    <w:basedOn w:val="Policepardfaut"/>
    <w:uiPriority w:val="99"/>
    <w:unhideWhenUsed/>
    <w:rsid w:val="00DC3B80"/>
    <w:rPr>
      <w:color w:val="0563C1" w:themeColor="hyperlink"/>
      <w:u w:val="single"/>
    </w:rPr>
  </w:style>
  <w:style w:type="paragraph" w:styleId="En-tte">
    <w:name w:val="header"/>
    <w:basedOn w:val="Normal"/>
    <w:link w:val="En-tteCar"/>
    <w:uiPriority w:val="99"/>
    <w:unhideWhenUsed/>
    <w:rsid w:val="00DC3B80"/>
    <w:pPr>
      <w:tabs>
        <w:tab w:val="center" w:pos="4536"/>
        <w:tab w:val="right" w:pos="9072"/>
      </w:tabs>
      <w:spacing w:after="0" w:line="240" w:lineRule="auto"/>
    </w:pPr>
  </w:style>
  <w:style w:type="character" w:customStyle="1" w:styleId="En-tteCar">
    <w:name w:val="En-tête Car"/>
    <w:basedOn w:val="Policepardfaut"/>
    <w:link w:val="En-tte"/>
    <w:uiPriority w:val="99"/>
    <w:rsid w:val="00DC3B80"/>
  </w:style>
  <w:style w:type="paragraph" w:styleId="Pieddepage">
    <w:name w:val="footer"/>
    <w:basedOn w:val="Normal"/>
    <w:link w:val="PieddepageCar"/>
    <w:uiPriority w:val="99"/>
    <w:unhideWhenUsed/>
    <w:rsid w:val="00DC3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DEKERLE Caroline</dc:creator>
  <cp:keywords/>
  <dc:description/>
  <cp:lastModifiedBy>PHARIENGAM-LAFOSSE Germaine</cp:lastModifiedBy>
  <cp:revision>3</cp:revision>
  <dcterms:created xsi:type="dcterms:W3CDTF">2021-01-27T10:38:00Z</dcterms:created>
  <dcterms:modified xsi:type="dcterms:W3CDTF">2021-01-27T10:44:00Z</dcterms:modified>
</cp:coreProperties>
</file>